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3EB24">
      <w:pPr>
        <w:jc w:val="center"/>
        <w:rPr>
          <w:rFonts w:eastAsia="方正仿宋_GB2312"/>
          <w:sz w:val="84"/>
        </w:rPr>
      </w:pPr>
    </w:p>
    <w:p w14:paraId="7549B5F5">
      <w:pPr>
        <w:jc w:val="center"/>
        <w:rPr>
          <w:rFonts w:eastAsia="方正仿宋_GB2312"/>
          <w:sz w:val="84"/>
        </w:rPr>
      </w:pPr>
    </w:p>
    <w:p w14:paraId="627BA695">
      <w:pPr>
        <w:jc w:val="center"/>
        <w:rPr>
          <w:rFonts w:ascii="华文中宋" w:hAnsi="华文中宋" w:eastAsia="华文中宋"/>
          <w:sz w:val="84"/>
          <w:szCs w:val="84"/>
        </w:rPr>
      </w:pPr>
      <w:r>
        <w:rPr>
          <w:rFonts w:hint="eastAsia" w:ascii="华文中宋" w:hAnsi="华文中宋" w:eastAsia="华文中宋"/>
          <w:sz w:val="84"/>
          <w:szCs w:val="84"/>
        </w:rPr>
        <w:t>采购询价函</w:t>
      </w:r>
    </w:p>
    <w:p w14:paraId="30352415">
      <w:pPr>
        <w:jc w:val="center"/>
        <w:rPr>
          <w:rFonts w:ascii="华文中宋" w:hAnsi="华文中宋" w:eastAsia="华文中宋"/>
          <w:sz w:val="84"/>
          <w:szCs w:val="84"/>
        </w:rPr>
      </w:pPr>
    </w:p>
    <w:p w14:paraId="487813E2">
      <w:pPr>
        <w:spacing w:before="120" w:after="120"/>
        <w:rPr>
          <w:rFonts w:eastAsia="方正仿宋_GB2312"/>
          <w:sz w:val="32"/>
        </w:rPr>
      </w:pPr>
    </w:p>
    <w:p w14:paraId="3D764622">
      <w:pPr>
        <w:spacing w:before="120" w:after="120"/>
        <w:rPr>
          <w:rFonts w:eastAsia="方正仿宋_GB2312"/>
          <w:sz w:val="32"/>
        </w:rPr>
      </w:pPr>
    </w:p>
    <w:p w14:paraId="28DA1901">
      <w:pPr>
        <w:spacing w:before="120" w:after="120"/>
        <w:rPr>
          <w:rFonts w:eastAsia="方正仿宋_GB2312"/>
          <w:sz w:val="32"/>
        </w:rPr>
      </w:pPr>
    </w:p>
    <w:p w14:paraId="14204E30">
      <w:pPr>
        <w:spacing w:before="120" w:after="120"/>
        <w:rPr>
          <w:rFonts w:eastAsia="方正仿宋_GB2312"/>
          <w:sz w:val="32"/>
        </w:rPr>
      </w:pPr>
    </w:p>
    <w:p w14:paraId="13DC8132">
      <w:pPr>
        <w:autoSpaceDE w:val="0"/>
        <w:autoSpaceDN w:val="0"/>
        <w:adjustRightInd w:val="0"/>
        <w:jc w:val="center"/>
        <w:rPr>
          <w:rFonts w:ascii="宋体" w:hAnsi="宋体" w:cs="宋体"/>
          <w:b/>
          <w:sz w:val="52"/>
          <w:szCs w:val="52"/>
        </w:rPr>
      </w:pPr>
    </w:p>
    <w:p w14:paraId="12098FB7">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省国资委四楼会议室显示屏改造项目      </w:t>
      </w:r>
      <w:r>
        <w:rPr>
          <w:rFonts w:hint="eastAsia" w:ascii="微软雅黑" w:hAnsi="微软雅黑" w:eastAsia="微软雅黑" w:cs="黑体"/>
          <w:b w:val="0"/>
          <w:bCs/>
          <w:sz w:val="32"/>
          <w:szCs w:val="32"/>
          <w:u w:val="none"/>
          <w:lang w:val="en-US" w:eastAsia="zh-CN"/>
        </w:rPr>
        <w:t xml:space="preserve">                              </w:t>
      </w:r>
    </w:p>
    <w:p w14:paraId="73D4847D">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36287FE2">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2025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01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02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14:paraId="7459A484">
      <w:pPr>
        <w:spacing w:before="120" w:after="120"/>
        <w:ind w:right="960" w:firstLine="640"/>
        <w:jc w:val="right"/>
        <w:rPr>
          <w:rFonts w:hint="eastAsia" w:eastAsia="方正仿宋_GB2312"/>
          <w:sz w:val="32"/>
        </w:rPr>
        <w:sectPr>
          <w:headerReference r:id="rId3" w:type="default"/>
          <w:footerReference r:id="rId4" w:type="default"/>
          <w:pgSz w:w="11907" w:h="16840"/>
          <w:pgMar w:top="1418" w:right="1418" w:bottom="1418" w:left="1701" w:header="851" w:footer="851" w:gutter="0"/>
          <w:pgBorders>
            <w:top w:val="none" w:sz="0" w:space="0"/>
            <w:left w:val="none" w:sz="0" w:space="0"/>
            <w:bottom w:val="none" w:sz="0" w:space="0"/>
            <w:right w:val="none" w:sz="0" w:space="0"/>
          </w:pgBorders>
          <w:cols w:space="720" w:num="1"/>
        </w:sectPr>
      </w:pPr>
    </w:p>
    <w:p w14:paraId="24454860">
      <w:pPr>
        <w:jc w:val="center"/>
        <w:rPr>
          <w:rStyle w:val="105"/>
          <w:rFonts w:ascii="黑体" w:eastAsia="黑体"/>
          <w:b/>
          <w:bCs/>
          <w:sz w:val="44"/>
          <w:szCs w:val="44"/>
        </w:rPr>
      </w:pPr>
    </w:p>
    <w:p w14:paraId="3242D6B7">
      <w:pPr>
        <w:spacing w:line="600" w:lineRule="exact"/>
        <w:jc w:val="center"/>
        <w:rPr>
          <w:rStyle w:val="105"/>
          <w:rFonts w:ascii="微软雅黑" w:hAnsi="微软雅黑" w:eastAsia="微软雅黑"/>
          <w:b/>
          <w:bCs/>
          <w:sz w:val="32"/>
          <w:szCs w:val="32"/>
        </w:rPr>
      </w:pPr>
      <w:r>
        <w:rPr>
          <w:rStyle w:val="105"/>
          <w:rFonts w:hint="eastAsia" w:ascii="微软雅黑" w:hAnsi="微软雅黑" w:eastAsia="微软雅黑"/>
          <w:b/>
          <w:bCs/>
          <w:sz w:val="32"/>
          <w:szCs w:val="32"/>
        </w:rPr>
        <w:t>举报渠道告知函</w:t>
      </w:r>
    </w:p>
    <w:p w14:paraId="014D0732">
      <w:pPr>
        <w:spacing w:line="600" w:lineRule="exact"/>
        <w:ind w:firstLine="420" w:firstLineChars="200"/>
        <w:jc w:val="center"/>
        <w:rPr>
          <w:rFonts w:ascii="微软雅黑" w:hAnsi="微软雅黑" w:eastAsia="微软雅黑"/>
        </w:rPr>
      </w:pPr>
    </w:p>
    <w:p w14:paraId="422AFC51">
      <w:pPr>
        <w:pStyle w:val="74"/>
        <w:spacing w:line="600" w:lineRule="exact"/>
        <w:ind w:firstLine="560" w:firstLineChars="200"/>
        <w:rPr>
          <w:rFonts w:ascii="微软雅黑" w:hAnsi="微软雅黑" w:eastAsia="微软雅黑"/>
        </w:rPr>
      </w:pPr>
      <w:r>
        <w:rPr>
          <w:rStyle w:val="105"/>
          <w:rFonts w:hint="eastAsia" w:ascii="微软雅黑" w:hAnsi="微软雅黑" w:eastAsia="微软雅黑"/>
          <w:sz w:val="28"/>
          <w:szCs w:val="28"/>
        </w:rPr>
        <w:t>为维护公平、公正的商业环境，保护双方共同利益，敬请各单位在与</w:t>
      </w:r>
      <w:r>
        <w:rPr>
          <w:rStyle w:val="105"/>
          <w:rFonts w:hint="eastAsia" w:ascii="微软雅黑" w:hAnsi="微软雅黑" w:eastAsia="微软雅黑"/>
          <w:sz w:val="28"/>
          <w:szCs w:val="28"/>
          <w:u w:val="none"/>
          <w:lang w:val="en-US"/>
        </w:rPr>
        <w:t>我公司各</w:t>
      </w:r>
      <w:r>
        <w:rPr>
          <w:rStyle w:val="105"/>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5"/>
          <w:rFonts w:hint="eastAsia" w:ascii="微软雅黑" w:hAnsi="微软雅黑" w:eastAsia="微软雅黑"/>
          <w:sz w:val="28"/>
          <w:szCs w:val="28"/>
          <w:lang w:val="en-US"/>
        </w:rPr>
        <w:t>综合管理部</w:t>
      </w:r>
      <w:r>
        <w:rPr>
          <w:rStyle w:val="105"/>
          <w:rFonts w:hint="eastAsia" w:ascii="微软雅黑" w:hAnsi="微软雅黑" w:eastAsia="微软雅黑"/>
          <w:sz w:val="28"/>
          <w:szCs w:val="28"/>
        </w:rPr>
        <w:t>进行投诉。</w:t>
      </w:r>
    </w:p>
    <w:p w14:paraId="018DB442">
      <w:pPr>
        <w:pStyle w:val="74"/>
        <w:spacing w:line="600" w:lineRule="exact"/>
        <w:ind w:firstLine="560" w:firstLineChars="200"/>
        <w:rPr>
          <w:rFonts w:ascii="微软雅黑" w:hAnsi="微软雅黑" w:eastAsia="微软雅黑"/>
        </w:rPr>
      </w:pPr>
      <w:r>
        <w:rPr>
          <w:rStyle w:val="105"/>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14:paraId="339197E4">
      <w:pPr>
        <w:spacing w:line="600" w:lineRule="exact"/>
        <w:jc w:val="center"/>
        <w:rPr>
          <w:rStyle w:val="105"/>
          <w:rFonts w:ascii="微软雅黑" w:hAnsi="微软雅黑" w:eastAsia="微软雅黑"/>
          <w:sz w:val="28"/>
          <w:szCs w:val="28"/>
        </w:rPr>
      </w:pPr>
    </w:p>
    <w:p w14:paraId="474D31A9">
      <w:pPr>
        <w:spacing w:line="600" w:lineRule="exact"/>
        <w:jc w:val="center"/>
        <w:rPr>
          <w:rStyle w:val="105"/>
          <w:rFonts w:ascii="微软雅黑" w:hAnsi="微软雅黑" w:eastAsia="微软雅黑"/>
          <w:sz w:val="28"/>
          <w:szCs w:val="28"/>
        </w:rPr>
      </w:pPr>
    </w:p>
    <w:p w14:paraId="434F67ED">
      <w:pPr>
        <w:widowControl/>
        <w:spacing w:line="600" w:lineRule="exact"/>
        <w:jc w:val="left"/>
        <w:rPr>
          <w:rFonts w:hint="default" w:ascii="微软雅黑" w:hAnsi="微软雅黑" w:eastAsia="微软雅黑" w:cs="宋体"/>
          <w:b/>
          <w:bCs/>
          <w:kern w:val="0"/>
          <w:sz w:val="44"/>
          <w:szCs w:val="44"/>
          <w:lang w:val="en-US"/>
        </w:rPr>
      </w:pPr>
      <w:r>
        <w:rPr>
          <w:rStyle w:val="105"/>
          <w:rFonts w:hint="eastAsia" w:ascii="微软雅黑" w:hAnsi="微软雅黑" w:eastAsia="微软雅黑"/>
          <w:sz w:val="28"/>
          <w:szCs w:val="28"/>
        </w:rPr>
        <w:t xml:space="preserve">                              </w:t>
      </w:r>
      <w:r>
        <w:rPr>
          <w:rStyle w:val="105"/>
          <w:rFonts w:hint="eastAsia" w:ascii="微软雅黑" w:hAnsi="微软雅黑" w:eastAsia="微软雅黑"/>
          <w:sz w:val="28"/>
          <w:szCs w:val="28"/>
          <w:lang w:val="en-US"/>
        </w:rPr>
        <w:t xml:space="preserve">         海南省信投启明科技有限公司</w:t>
      </w:r>
    </w:p>
    <w:p w14:paraId="0685A75D">
      <w:pPr>
        <w:spacing w:line="460" w:lineRule="exact"/>
        <w:jc w:val="center"/>
        <w:rPr>
          <w:rFonts w:ascii="黑体" w:hAnsi="黑体" w:eastAsia="黑体"/>
          <w:sz w:val="32"/>
          <w:szCs w:val="32"/>
        </w:rPr>
      </w:pPr>
      <w:r>
        <w:br w:type="page"/>
      </w:r>
    </w:p>
    <w:p w14:paraId="7812F1AD">
      <w:pPr>
        <w:wordWrap/>
        <w:adjustRightInd/>
        <w:spacing w:line="500" w:lineRule="exact"/>
        <w:textAlignment w:val="auto"/>
        <w:rPr>
          <w:rFonts w:hint="eastAsia" w:ascii="微软雅黑" w:hAnsi="微软雅黑" w:eastAsia="微软雅黑"/>
          <w:kern w:val="0"/>
          <w:sz w:val="24"/>
          <w:lang w:eastAsia="zh-CN"/>
        </w:rPr>
      </w:pPr>
      <w:r>
        <w:rPr>
          <w:rFonts w:hint="eastAsia" w:ascii="微软雅黑" w:hAnsi="微软雅黑" w:eastAsia="微软雅黑"/>
          <w:kern w:val="0"/>
          <w:sz w:val="24"/>
        </w:rPr>
        <w:t>各被邀请公司</w:t>
      </w:r>
      <w:r>
        <w:rPr>
          <w:rFonts w:hint="eastAsia" w:ascii="微软雅黑" w:hAnsi="微软雅黑" w:eastAsia="微软雅黑"/>
          <w:kern w:val="0"/>
          <w:sz w:val="24"/>
          <w:lang w:eastAsia="zh-CN"/>
        </w:rPr>
        <w:t>：</w:t>
      </w:r>
    </w:p>
    <w:p w14:paraId="68FD0F0C">
      <w:pPr>
        <w:widowControl w:val="0"/>
        <w:wordWrap/>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rPr>
        <w:t>您好！</w:t>
      </w:r>
    </w:p>
    <w:p w14:paraId="770B87AD">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拟就</w:t>
      </w:r>
      <w:r>
        <w:rPr>
          <w:rFonts w:hint="eastAsia" w:ascii="微软雅黑" w:hAnsi="微软雅黑" w:eastAsia="微软雅黑"/>
          <w:kern w:val="0"/>
          <w:sz w:val="24"/>
          <w:u w:val="single"/>
          <w:lang w:val="en-US" w:eastAsia="zh-CN"/>
        </w:rPr>
        <w:t xml:space="preserve"> 省国资委四楼会议室显示屏改造项目</w:t>
      </w:r>
      <w:bookmarkStart w:id="0" w:name="_GoBack"/>
      <w:bookmarkEnd w:id="0"/>
      <w:r>
        <w:rPr>
          <w:rFonts w:hint="eastAsia" w:ascii="微软雅黑" w:hAnsi="微软雅黑" w:eastAsia="微软雅黑"/>
          <w:color w:val="0000FF"/>
          <w:kern w:val="0"/>
          <w:sz w:val="24"/>
          <w:u w:val="single"/>
          <w:lang w:val="en-US" w:eastAsia="zh-CN"/>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kern w:val="0"/>
          <w:sz w:val="24"/>
        </w:rPr>
        <w:t>开展采购工作，本次采购方采取多家比价的方式确定最终供应商</w:t>
      </w:r>
      <w:r>
        <w:rPr>
          <w:rFonts w:hint="eastAsia" w:ascii="微软雅黑" w:hAnsi="微软雅黑" w:eastAsia="微软雅黑"/>
          <w:kern w:val="0"/>
          <w:sz w:val="24"/>
          <w:lang w:eastAsia="zh-CN"/>
        </w:rPr>
        <w:t>，</w:t>
      </w:r>
      <w:r>
        <w:rPr>
          <w:rFonts w:hint="eastAsia" w:ascii="微软雅黑" w:hAnsi="微软雅黑" w:eastAsia="微软雅黑"/>
          <w:kern w:val="0"/>
          <w:sz w:val="24"/>
        </w:rPr>
        <w:t>在满足采购方商务条款要求的情况下，由报价最低方中标，</w:t>
      </w:r>
      <w:r>
        <w:rPr>
          <w:rFonts w:hint="eastAsia" w:ascii="微软雅黑" w:hAnsi="微软雅黑" w:eastAsia="微软雅黑"/>
          <w:kern w:val="0"/>
          <w:sz w:val="24"/>
          <w:lang w:val="en-US" w:eastAsia="zh-CN"/>
        </w:rPr>
        <w:t>超出最高限价的报价，按无效报价处理，</w:t>
      </w:r>
      <w:r>
        <w:rPr>
          <w:rFonts w:hint="eastAsia" w:ascii="微软雅黑" w:hAnsi="微软雅黑" w:eastAsia="微软雅黑"/>
          <w:kern w:val="0"/>
          <w:sz w:val="24"/>
        </w:rPr>
        <w:t>请贵公司于</w:t>
      </w:r>
      <w:r>
        <w:rPr>
          <w:rFonts w:hint="eastAsia" w:ascii="微软雅黑" w:hAnsi="微软雅黑" w:eastAsia="微软雅黑"/>
          <w:b/>
          <w:color w:val="0000FF"/>
          <w:kern w:val="0"/>
          <w:sz w:val="24"/>
          <w:lang w:val="en-US" w:eastAsia="zh-CN"/>
        </w:rPr>
        <w:t xml:space="preserve">2025 </w:t>
      </w:r>
      <w:r>
        <w:rPr>
          <w:rFonts w:hint="eastAsia" w:ascii="微软雅黑" w:hAnsi="微软雅黑" w:eastAsia="微软雅黑"/>
          <w:b/>
          <w:color w:val="0000FF"/>
          <w:kern w:val="0"/>
          <w:sz w:val="24"/>
        </w:rPr>
        <w:t>年</w:t>
      </w:r>
      <w:r>
        <w:rPr>
          <w:rFonts w:hint="eastAsia" w:ascii="微软雅黑" w:hAnsi="微软雅黑" w:eastAsia="微软雅黑"/>
          <w:b/>
          <w:color w:val="0000FF"/>
          <w:kern w:val="0"/>
          <w:sz w:val="24"/>
          <w:lang w:val="en-US" w:eastAsia="zh-CN"/>
        </w:rPr>
        <w:t xml:space="preserve"> 01</w:t>
      </w:r>
      <w:r>
        <w:rPr>
          <w:rFonts w:hint="eastAsia" w:ascii="微软雅黑" w:hAnsi="微软雅黑" w:eastAsia="微软雅黑"/>
          <w:b/>
          <w:color w:val="0000FF"/>
          <w:kern w:val="0"/>
          <w:sz w:val="24"/>
        </w:rPr>
        <w:t>月</w:t>
      </w:r>
      <w:r>
        <w:rPr>
          <w:rFonts w:hint="eastAsia" w:ascii="微软雅黑" w:hAnsi="微软雅黑" w:eastAsia="微软雅黑"/>
          <w:b/>
          <w:color w:val="0000FF"/>
          <w:kern w:val="0"/>
          <w:sz w:val="24"/>
          <w:lang w:val="en-US" w:eastAsia="zh-CN"/>
        </w:rPr>
        <w:t xml:space="preserve"> 06</w:t>
      </w:r>
      <w:r>
        <w:rPr>
          <w:rFonts w:hint="eastAsia" w:ascii="微软雅黑" w:hAnsi="微软雅黑" w:eastAsia="微软雅黑"/>
          <w:b/>
          <w:color w:val="0000FF"/>
          <w:kern w:val="0"/>
          <w:sz w:val="24"/>
        </w:rPr>
        <w:t>日</w:t>
      </w:r>
      <w:r>
        <w:rPr>
          <w:rFonts w:hint="eastAsia" w:ascii="微软雅黑" w:hAnsi="微软雅黑" w:eastAsia="微软雅黑"/>
          <w:b/>
          <w:color w:val="0000FF"/>
          <w:kern w:val="0"/>
          <w:sz w:val="24"/>
          <w:lang w:val="en-US" w:eastAsia="zh-CN"/>
        </w:rPr>
        <w:t>12</w:t>
      </w:r>
      <w:r>
        <w:rPr>
          <w:rFonts w:hint="eastAsia" w:ascii="微软雅黑" w:hAnsi="微软雅黑" w:eastAsia="微软雅黑"/>
          <w:b/>
          <w:color w:val="0000FF"/>
          <w:kern w:val="0"/>
          <w:sz w:val="24"/>
        </w:rPr>
        <w:t>时</w:t>
      </w:r>
      <w:r>
        <w:rPr>
          <w:rFonts w:hint="eastAsia" w:ascii="微软雅黑" w:hAnsi="微软雅黑" w:eastAsia="微软雅黑"/>
          <w:b/>
          <w:color w:val="0000FF"/>
          <w:kern w:val="0"/>
          <w:sz w:val="24"/>
          <w:lang w:val="en-US" w:eastAsia="zh-CN"/>
        </w:rPr>
        <w:t>00</w:t>
      </w:r>
      <w:r>
        <w:rPr>
          <w:rFonts w:hint="eastAsia" w:ascii="微软雅黑" w:hAnsi="微软雅黑" w:eastAsia="微软雅黑"/>
          <w:b/>
          <w:color w:val="0000FF"/>
          <w:kern w:val="0"/>
          <w:sz w:val="24"/>
        </w:rPr>
        <w:t>分</w:t>
      </w:r>
      <w:r>
        <w:rPr>
          <w:rFonts w:hint="eastAsia" w:ascii="微软雅黑" w:hAnsi="微软雅黑" w:eastAsia="微软雅黑"/>
          <w:kern w:val="0"/>
          <w:sz w:val="24"/>
        </w:rPr>
        <w:t>之前进行邮件报价。</w:t>
      </w:r>
    </w:p>
    <w:p w14:paraId="6F534BED">
      <w:pPr>
        <w:widowControl/>
        <w:wordWrap/>
        <w:adjustRightInd/>
        <w:snapToGrid w:val="0"/>
        <w:spacing w:line="500" w:lineRule="exact"/>
        <w:ind w:firstLine="480" w:firstLineChars="200"/>
        <w:textAlignment w:val="auto"/>
        <w:rPr>
          <w:rFonts w:hint="eastAsia" w:ascii="微软雅黑" w:hAnsi="微软雅黑" w:eastAsia="微软雅黑"/>
          <w:kern w:val="0"/>
          <w:sz w:val="24"/>
        </w:rPr>
      </w:pPr>
    </w:p>
    <w:p w14:paraId="7AE22B31">
      <w:pPr>
        <w:widowControl/>
        <w:wordWrap/>
        <w:adjustRightInd/>
        <w:snapToGrid w:val="0"/>
        <w:spacing w:line="500" w:lineRule="exact"/>
        <w:ind w:firstLine="0" w:firstLineChars="0"/>
        <w:jc w:val="left"/>
        <w:textAlignment w:val="auto"/>
        <w:rPr>
          <w:rFonts w:hint="eastAsia" w:ascii="微软雅黑" w:hAnsi="微软雅黑" w:eastAsia="微软雅黑"/>
          <w:b/>
          <w:kern w:val="0"/>
          <w:sz w:val="28"/>
          <w:szCs w:val="28"/>
        </w:rPr>
      </w:pPr>
      <w:r>
        <w:rPr>
          <w:rFonts w:hint="eastAsia" w:ascii="微软雅黑" w:hAnsi="微软雅黑" w:eastAsia="微软雅黑"/>
          <w:b/>
          <w:kern w:val="0"/>
          <w:sz w:val="28"/>
          <w:szCs w:val="28"/>
        </w:rPr>
        <w:t>一、报价形式</w:t>
      </w:r>
    </w:p>
    <w:p w14:paraId="33AC65D9">
      <w:pPr>
        <w:widowControl/>
        <w:wordWrap/>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）邮件报价须知</w:t>
      </w:r>
      <w:r>
        <w:rPr>
          <w:rFonts w:hint="eastAsia" w:ascii="微软雅黑" w:hAnsi="微软雅黑" w:eastAsia="微软雅黑"/>
          <w:b/>
          <w:kern w:val="0"/>
          <w:sz w:val="24"/>
        </w:rPr>
        <w:t>：</w:t>
      </w:r>
      <w:r>
        <w:rPr>
          <w:rFonts w:hint="eastAsia" w:ascii="微软雅黑" w:hAnsi="微软雅黑" w:eastAsia="微软雅黑"/>
          <w:kern w:val="0"/>
          <w:sz w:val="24"/>
        </w:rPr>
        <w:t>按要求将需要反馈的询价文件每页加盖公司公章后，用扫描件以电子邮件的形式在规定的时限内将报价发送至指定邮箱：</w:t>
      </w:r>
    </w:p>
    <w:p w14:paraId="2A56D05C">
      <w:pPr>
        <w:widowControl/>
        <w:wordWrap/>
        <w:adjustRightInd/>
        <w:snapToGrid w:val="0"/>
        <w:spacing w:line="500" w:lineRule="exact"/>
        <w:ind w:firstLine="480" w:firstLineChars="200"/>
        <w:jc w:val="left"/>
        <w:textAlignment w:val="auto"/>
        <w:rPr>
          <w:rFonts w:hint="eastAsia"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报价专用邮箱：hnxtqm-cg@iiivtech.cn</w:t>
      </w:r>
    </w:p>
    <w:p w14:paraId="364640AD">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注意事项：</w:t>
      </w:r>
    </w:p>
    <w:p w14:paraId="6BEC057E">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1.每个邮件不要超过</w:t>
      </w:r>
      <w:r>
        <w:rPr>
          <w:rFonts w:hint="eastAsia" w:ascii="微软雅黑" w:hAnsi="微软雅黑" w:eastAsia="微软雅黑"/>
          <w:kern w:val="0"/>
          <w:sz w:val="24"/>
          <w:lang w:val="en-US" w:eastAsia="zh-CN"/>
        </w:rPr>
        <w:t>20</w:t>
      </w:r>
      <w:r>
        <w:rPr>
          <w:rFonts w:hint="eastAsia" w:ascii="微软雅黑" w:hAnsi="微软雅黑" w:eastAsia="微软雅黑"/>
          <w:kern w:val="0"/>
          <w:sz w:val="24"/>
        </w:rPr>
        <w:t>M，如超过分成多个邮件发送。</w:t>
      </w:r>
    </w:p>
    <w:p w14:paraId="7EED4593">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2.请务必确认邮件发送成功。</w:t>
      </w:r>
    </w:p>
    <w:p w14:paraId="6025A02F">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r>
        <w:rPr>
          <w:rFonts w:hint="eastAsia" w:ascii="微软雅黑" w:hAnsi="微软雅黑" w:eastAsia="微软雅黑"/>
          <w:kern w:val="0"/>
          <w:sz w:val="24"/>
        </w:rPr>
        <w:t>3.此邮箱为此次询比价的唯一指定邮箱。发往其他邮箱的报价将视为无效。</w:t>
      </w:r>
    </w:p>
    <w:p w14:paraId="45C2A7B4">
      <w:pPr>
        <w:widowControl/>
        <w:wordWrap/>
        <w:adjustRightInd/>
        <w:snapToGrid w:val="0"/>
        <w:spacing w:line="500" w:lineRule="exact"/>
        <w:ind w:firstLine="480" w:firstLineChars="200"/>
        <w:jc w:val="left"/>
        <w:textAlignment w:val="auto"/>
        <w:rPr>
          <w:rFonts w:hint="eastAsia" w:ascii="微软雅黑" w:hAnsi="微软雅黑" w:eastAsia="微软雅黑"/>
          <w:kern w:val="0"/>
          <w:sz w:val="24"/>
        </w:rPr>
      </w:pPr>
    </w:p>
    <w:p w14:paraId="00048709">
      <w:pPr>
        <w:widowControl/>
        <w:wordWrap/>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rPr>
        <w:t>二、其它要求</w:t>
      </w:r>
    </w:p>
    <w:p w14:paraId="75EC1B16">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一</w:t>
      </w:r>
      <w:r>
        <w:rPr>
          <w:rFonts w:hint="eastAsia" w:ascii="微软雅黑" w:hAnsi="微软雅黑" w:eastAsia="微软雅黑"/>
          <w:b/>
          <w:kern w:val="0"/>
          <w:sz w:val="24"/>
          <w:lang w:eastAsia="zh-CN"/>
        </w:rPr>
        <w:t>）</w:t>
      </w:r>
      <w:r>
        <w:rPr>
          <w:rFonts w:hint="eastAsia" w:ascii="微软雅黑" w:hAnsi="微软雅黑" w:eastAsia="微软雅黑"/>
          <w:b/>
          <w:kern w:val="0"/>
          <w:sz w:val="24"/>
        </w:rPr>
        <w:t>报价时限：</w:t>
      </w:r>
      <w:r>
        <w:rPr>
          <w:rFonts w:hint="eastAsia" w:ascii="微软雅黑" w:hAnsi="微软雅黑" w:eastAsia="微软雅黑"/>
          <w:kern w:val="0"/>
          <w:sz w:val="24"/>
        </w:rPr>
        <w:t>超出规定时限报价的，将被视为无效报价，并且视为自动取消竞标资格。</w:t>
      </w:r>
    </w:p>
    <w:p w14:paraId="7B2A40BB">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二</w:t>
      </w:r>
      <w:r>
        <w:rPr>
          <w:rFonts w:hint="eastAsia" w:ascii="微软雅黑" w:hAnsi="微软雅黑" w:eastAsia="微软雅黑"/>
          <w:b/>
          <w:kern w:val="0"/>
          <w:sz w:val="24"/>
          <w:lang w:eastAsia="zh-CN"/>
        </w:rPr>
        <w:t>）</w:t>
      </w:r>
      <w:r>
        <w:rPr>
          <w:rFonts w:hint="eastAsia" w:ascii="微软雅黑" w:hAnsi="微软雅黑" w:eastAsia="微软雅黑"/>
          <w:b/>
          <w:kern w:val="0"/>
          <w:sz w:val="24"/>
        </w:rPr>
        <w:t>特别强调</w:t>
      </w:r>
      <w:r>
        <w:rPr>
          <w:rFonts w:hint="eastAsia" w:ascii="微软雅黑" w:hAnsi="微软雅黑" w:eastAsia="微软雅黑"/>
          <w:b/>
          <w:kern w:val="0"/>
          <w:sz w:val="24"/>
          <w:lang w:eastAsia="zh-CN"/>
        </w:rPr>
        <w:t>：</w:t>
      </w:r>
      <w:r>
        <w:rPr>
          <w:rFonts w:hint="eastAsia" w:ascii="微软雅黑" w:hAnsi="微软雅黑" w:eastAsia="微软雅黑"/>
          <w:kern w:val="0"/>
          <w:sz w:val="24"/>
        </w:rPr>
        <w:t>在报价时间截止前，我们将贵司提供的最后一次价格视为最终报价。</w:t>
      </w:r>
    </w:p>
    <w:p w14:paraId="6FCC4D68">
      <w:pPr>
        <w:widowControl/>
        <w:wordWrap/>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rPr>
        <w:t>（三</w:t>
      </w:r>
      <w:r>
        <w:rPr>
          <w:rFonts w:hint="eastAsia" w:ascii="微软雅黑" w:hAnsi="微软雅黑" w:eastAsia="微软雅黑"/>
          <w:b/>
          <w:kern w:val="0"/>
          <w:sz w:val="24"/>
          <w:lang w:eastAsia="zh-CN"/>
        </w:rPr>
        <w:t>）</w:t>
      </w:r>
      <w:r>
        <w:rPr>
          <w:rFonts w:hint="eastAsia" w:ascii="微软雅黑" w:hAnsi="微软雅黑" w:eastAsia="微软雅黑"/>
          <w:b/>
          <w:kern w:val="0"/>
          <w:sz w:val="24"/>
        </w:rPr>
        <w:t>纪律强调：</w:t>
      </w:r>
    </w:p>
    <w:p w14:paraId="4FA4B9F6">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rPr>
        <w:t>1</w:t>
      </w:r>
      <w:r>
        <w:rPr>
          <w:rFonts w:hint="eastAsia" w:ascii="微软雅黑" w:hAnsi="微软雅黑" w:eastAsia="微软雅黑"/>
          <w:kern w:val="0"/>
          <w:sz w:val="24"/>
          <w:lang w:val="en-US" w:eastAsia="zh-CN"/>
        </w:rPr>
        <w:t>.</w:t>
      </w:r>
      <w:r>
        <w:rPr>
          <w:rFonts w:hint="eastAsia" w:ascii="微软雅黑" w:hAnsi="微软雅黑" w:eastAsia="微软雅黑"/>
          <w:kern w:val="0"/>
          <w:sz w:val="24"/>
        </w:rPr>
        <w:t>如报价单位需要答疑的，请邮件预约时间，由采购专员统一答疑；</w:t>
      </w:r>
    </w:p>
    <w:p w14:paraId="5AF84BE1">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2.</w:t>
      </w:r>
      <w:r>
        <w:rPr>
          <w:rFonts w:hint="eastAsia" w:ascii="微软雅黑" w:hAnsi="微软雅黑" w:eastAsia="微软雅黑"/>
          <w:kern w:val="0"/>
          <w:sz w:val="24"/>
        </w:rPr>
        <w:t>严禁供应商与采购专员以外人员进行接触打听项目信息，一经发现，有权取消其项目参与资格。</w:t>
      </w:r>
    </w:p>
    <w:p w14:paraId="09ABAD6A">
      <w:pPr>
        <w:widowControl/>
        <w:wordWrap/>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rPr>
        <w:t>3.</w:t>
      </w:r>
      <w:r>
        <w:rPr>
          <w:rFonts w:hint="eastAsia" w:ascii="微软雅黑" w:hAnsi="微软雅黑" w:eastAsia="微软雅黑"/>
          <w:kern w:val="0"/>
          <w:sz w:val="24"/>
        </w:rPr>
        <w:t>严禁供应商围标、串标等非合规行为，一经发现，将严肃处理。</w:t>
      </w:r>
    </w:p>
    <w:p w14:paraId="32297AB1">
      <w:pPr>
        <w:widowControl/>
        <w:wordWrap/>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rPr>
        <w:t>（</w:t>
      </w:r>
      <w:r>
        <w:rPr>
          <w:rFonts w:hint="eastAsia" w:ascii="微软雅黑" w:hAnsi="微软雅黑" w:eastAsia="微软雅黑"/>
          <w:b/>
          <w:kern w:val="0"/>
          <w:sz w:val="24"/>
          <w:lang w:val="en-US" w:eastAsia="zh-CN"/>
        </w:rPr>
        <w:t>四</w:t>
      </w:r>
      <w:r>
        <w:rPr>
          <w:rFonts w:hint="eastAsia" w:ascii="微软雅黑" w:hAnsi="微软雅黑" w:eastAsia="微软雅黑"/>
          <w:b/>
          <w:kern w:val="0"/>
          <w:sz w:val="24"/>
          <w:lang w:eastAsia="zh-CN"/>
        </w:rPr>
        <w:t>）</w:t>
      </w:r>
      <w:r>
        <w:rPr>
          <w:rFonts w:hint="eastAsia" w:ascii="微软雅黑" w:hAnsi="微软雅黑" w:eastAsia="微软雅黑"/>
          <w:b/>
          <w:kern w:val="0"/>
          <w:sz w:val="24"/>
        </w:rPr>
        <w:t>答疑联系方式</w:t>
      </w:r>
    </w:p>
    <w:p w14:paraId="18180EB5">
      <w:pPr>
        <w:widowControl/>
        <w:wordWrap/>
        <w:adjustRightInd/>
        <w:snapToGrid w:val="0"/>
        <w:spacing w:line="500" w:lineRule="exact"/>
        <w:jc w:val="left"/>
        <w:textAlignment w:val="auto"/>
        <w:rPr>
          <w:rFonts w:hint="default" w:ascii="微软雅黑" w:hAnsi="微软雅黑" w:eastAsia="微软雅黑"/>
          <w:kern w:val="0"/>
          <w:sz w:val="24"/>
          <w:lang w:val="en-US" w:eastAsia="zh-CN"/>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答疑咨询</w:t>
      </w:r>
      <w:r>
        <w:rPr>
          <w:rFonts w:hint="eastAsia" w:ascii="微软雅黑" w:hAnsi="微软雅黑" w:eastAsia="微软雅黑"/>
          <w:kern w:val="0"/>
          <w:sz w:val="24"/>
        </w:rPr>
        <w:t>：</w:t>
      </w:r>
      <w:r>
        <w:rPr>
          <w:rFonts w:hint="eastAsia" w:ascii="微软雅黑" w:hAnsi="微软雅黑" w:eastAsia="微软雅黑"/>
          <w:kern w:val="0"/>
          <w:sz w:val="24"/>
          <w:lang w:val="en-US" w:eastAsia="zh-CN"/>
        </w:rPr>
        <w:t>赵诗宇 13976274994</w:t>
      </w:r>
    </w:p>
    <w:p w14:paraId="6F4AE077">
      <w:pPr>
        <w:widowControl/>
        <w:wordWrap/>
        <w:adjustRightInd/>
        <w:snapToGrid w:val="0"/>
        <w:spacing w:line="500" w:lineRule="exact"/>
        <w:jc w:val="left"/>
        <w:textAlignment w:val="auto"/>
        <w:rPr>
          <w:rFonts w:hint="eastAsia" w:ascii="微软雅黑" w:hAnsi="微软雅黑" w:eastAsia="微软雅黑"/>
          <w:b/>
          <w:kern w:val="0"/>
          <w:sz w:val="28"/>
          <w:szCs w:val="28"/>
        </w:rPr>
      </w:pPr>
    </w:p>
    <w:p w14:paraId="47126B2F">
      <w:pPr>
        <w:widowControl/>
        <w:wordWrap/>
        <w:adjustRightInd/>
        <w:snapToGrid w:val="0"/>
        <w:spacing w:line="500" w:lineRule="exact"/>
        <w:jc w:val="left"/>
        <w:textAlignment w:val="auto"/>
        <w:rPr>
          <w:rFonts w:hint="eastAsia" w:ascii="微软雅黑" w:hAnsi="微软雅黑" w:eastAsia="微软雅黑"/>
          <w:b/>
          <w:kern w:val="0"/>
          <w:sz w:val="28"/>
          <w:szCs w:val="28"/>
          <w:lang w:eastAsia="zh-CN"/>
        </w:rPr>
      </w:pPr>
      <w:r>
        <w:rPr>
          <w:rFonts w:hint="eastAsia" w:ascii="微软雅黑" w:hAnsi="微软雅黑" w:eastAsia="微软雅黑"/>
          <w:b/>
          <w:kern w:val="0"/>
          <w:sz w:val="28"/>
          <w:szCs w:val="28"/>
        </w:rPr>
        <w:t>三、询报价单（见附件）</w:t>
      </w:r>
    </w:p>
    <w:p w14:paraId="59ABB3F0">
      <w:pPr>
        <w:widowControl/>
        <w:wordWrap/>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7"/>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14:paraId="0E978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14:paraId="7115C8A6">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14:paraId="02B02BB0">
            <w:pPr>
              <w:wordWrap/>
              <w:adjustRightInd/>
              <w:spacing w:line="500" w:lineRule="exact"/>
              <w:jc w:val="left"/>
              <w:textAlignment w:val="auto"/>
              <w:rPr>
                <w:rFonts w:hint="default" w:ascii="微软雅黑" w:hAnsi="微软雅黑" w:eastAsia="微软雅黑" w:cs="微软雅黑"/>
                <w:b/>
                <w:szCs w:val="21"/>
                <w:lang w:val="en-US"/>
              </w:rPr>
            </w:pPr>
            <w:r>
              <w:rPr>
                <w:rFonts w:hint="default" w:ascii="微软雅黑" w:hAnsi="微软雅黑" w:eastAsia="微软雅黑" w:cs="微软雅黑"/>
                <w:b/>
                <w:szCs w:val="21"/>
                <w:lang w:val="en-US"/>
              </w:rPr>
              <w:t>省国资委四楼会议室显示屏改造项目</w:t>
            </w:r>
          </w:p>
        </w:tc>
      </w:tr>
      <w:tr w14:paraId="5B131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14:paraId="2C1FD942">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14:paraId="04D22B02">
            <w:pPr>
              <w:wordWrap/>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按采购需求提供相应产品</w:t>
            </w:r>
          </w:p>
        </w:tc>
      </w:tr>
      <w:tr w14:paraId="2D246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14:paraId="3D8FB27D">
            <w:pPr>
              <w:wordWrap/>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14:paraId="36CA6B7A">
            <w:pPr>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按采购需求提供相应服务</w:t>
            </w:r>
          </w:p>
        </w:tc>
      </w:tr>
    </w:tbl>
    <w:p w14:paraId="4B4CA9B9">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14:paraId="6C1DFE70">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14:paraId="2B9D1D67">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14:paraId="5F90A7A8">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14:paraId="696E4C74">
      <w:pPr>
        <w:keepNext/>
        <w:widowControl w:val="0"/>
        <w:wordWrap/>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yellow"/>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14:paraId="26DECDA2">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14:paraId="48D51262">
      <w:pPr>
        <w:keepNext/>
        <w:widowControl w:val="0"/>
        <w:wordWrap/>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14:paraId="162340AA">
      <w:pPr>
        <w:keepNext/>
        <w:widowControl w:val="0"/>
        <w:wordWrap/>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14:paraId="68C887F4">
      <w:pPr>
        <w:wordWrap/>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14:paraId="67CB7B53">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14:paraId="6AABD418">
      <w:pPr>
        <w:keepNext/>
        <w:spacing w:line="600" w:lineRule="exact"/>
        <w:rPr>
          <w:rFonts w:ascii="微软雅黑" w:hAnsi="微软雅黑" w:eastAsia="微软雅黑" w:cs="微软雅黑"/>
          <w:kern w:val="0"/>
          <w:sz w:val="24"/>
        </w:rPr>
      </w:pPr>
    </w:p>
    <w:p w14:paraId="1AEDA540">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19A6BE0C">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省国资委四楼会议室显示屏改造项目</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D73B3"/>
          <w:kern w:val="0"/>
          <w:sz w:val="24"/>
          <w:u w:val="single"/>
          <w:lang w:val="en-US" w:eastAsia="zh-CN"/>
        </w:rPr>
        <w:t>姓名</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color w:val="2D73B3"/>
          <w:kern w:val="0"/>
          <w:sz w:val="24"/>
          <w:u w:val="single"/>
          <w:lang w:val="en-US" w:eastAsia="zh-CN"/>
        </w:rPr>
        <w:t>公司名、办公地址</w:t>
      </w:r>
      <w:r>
        <w:rPr>
          <w:rFonts w:hint="eastAsia" w:ascii="微软雅黑" w:hAnsi="微软雅黑" w:eastAsia="微软雅黑" w:cs="微软雅黑"/>
          <w:color w:val="2D73B3"/>
          <w:kern w:val="0"/>
          <w:sz w:val="24"/>
          <w:u w:val="single"/>
        </w:rPr>
        <w:t>）</w:t>
      </w:r>
      <w:r>
        <w:rPr>
          <w:rFonts w:hint="eastAsia" w:ascii="微软雅黑" w:hAnsi="微软雅黑" w:eastAsia="微软雅黑" w:cs="微软雅黑"/>
          <w:kern w:val="0"/>
          <w:sz w:val="24"/>
        </w:rPr>
        <w:t>提交以下文件。</w:t>
      </w:r>
    </w:p>
    <w:p w14:paraId="1144AC79">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14:paraId="7AF89AE5">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14:paraId="0D7A12F9">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14:paraId="4CF39F35">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14:paraId="18F91728">
      <w:pPr>
        <w:keepNext/>
        <w:spacing w:line="600" w:lineRule="exact"/>
        <w:ind w:firstLine="555"/>
        <w:rPr>
          <w:rFonts w:ascii="微软雅黑" w:hAnsi="微软雅黑" w:eastAsia="微软雅黑" w:cs="微软雅黑"/>
          <w:kern w:val="0"/>
          <w:sz w:val="24"/>
        </w:rPr>
      </w:pPr>
    </w:p>
    <w:p w14:paraId="713B6201">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7FE62B79">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5DA463A6">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14:paraId="0727C689">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14:paraId="7FD49528">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14:paraId="6914AFBB">
      <w:pPr>
        <w:jc w:val="center"/>
        <w:rPr>
          <w:rFonts w:ascii="微软雅黑" w:hAnsi="微软雅黑" w:eastAsia="微软雅黑"/>
          <w:b/>
          <w:kern w:val="0"/>
          <w:sz w:val="24"/>
        </w:rPr>
      </w:pPr>
      <w:r>
        <w:rPr>
          <w:rFonts w:hint="eastAsia" w:ascii="微软雅黑" w:hAnsi="微软雅黑" w:eastAsia="微软雅黑"/>
          <w:b/>
          <w:sz w:val="24"/>
        </w:rPr>
        <w:t>报价表</w:t>
      </w:r>
    </w:p>
    <w:p w14:paraId="016B5185">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14:paraId="16019401">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省国资委四楼会议室显示屏改造项目 </w:t>
      </w:r>
      <w:r>
        <w:rPr>
          <w:rFonts w:hint="eastAsia" w:ascii="微软雅黑" w:hAnsi="微软雅黑" w:eastAsia="微软雅黑"/>
          <w:kern w:val="0"/>
          <w:sz w:val="24"/>
        </w:rPr>
        <w:t>采购项目询价响应报价如下：</w:t>
      </w:r>
    </w:p>
    <w:tbl>
      <w:tblPr>
        <w:tblStyle w:val="37"/>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14:paraId="59F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07" w:type="dxa"/>
            <w:vAlign w:val="center"/>
          </w:tcPr>
          <w:p w14:paraId="2F1CD639">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14:paraId="71CCCAF5">
            <w:pPr>
              <w:widowControl/>
              <w:topLinePunct/>
              <w:spacing w:line="440" w:lineRule="exact"/>
              <w:rPr>
                <w:rFonts w:ascii="微软雅黑" w:hAnsi="微软雅黑" w:eastAsia="微软雅黑"/>
                <w:b/>
                <w:szCs w:val="21"/>
              </w:rPr>
            </w:pPr>
          </w:p>
        </w:tc>
      </w:tr>
      <w:tr w14:paraId="1962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907" w:type="dxa"/>
            <w:vAlign w:val="center"/>
          </w:tcPr>
          <w:p w14:paraId="03A8887D">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14:paraId="2415779F">
            <w:pPr>
              <w:topLinePunct/>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bCs/>
                <w:szCs w:val="21"/>
                <w:u w:val="none"/>
                <w:lang w:val="en-US" w:eastAsia="zh-CN"/>
              </w:rPr>
              <w:t xml:space="preserve"> 省国资委四楼会议室显示屏改造项目</w:t>
            </w:r>
          </w:p>
        </w:tc>
      </w:tr>
      <w:tr w14:paraId="028F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907" w:type="dxa"/>
            <w:vAlign w:val="center"/>
          </w:tcPr>
          <w:p w14:paraId="2E813FAD">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14:paraId="7EF381B2">
            <w:pPr>
              <w:topLinePunct/>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D73B3"/>
                <w:szCs w:val="21"/>
              </w:rPr>
              <w:t>小写：¥</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元</w:t>
            </w:r>
            <w:r>
              <w:rPr>
                <w:rFonts w:hint="eastAsia" w:ascii="微软雅黑" w:hAnsi="微软雅黑" w:eastAsia="微软雅黑"/>
                <w:b w:val="0"/>
                <w:bCs/>
                <w:color w:val="2D73B3"/>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14:paraId="14351FBF">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D73B3"/>
                <w:szCs w:val="21"/>
              </w:rPr>
              <w:t>大写：人民币</w:t>
            </w:r>
            <w:r>
              <w:rPr>
                <w:rFonts w:ascii="微软雅黑" w:hAnsi="微软雅黑" w:eastAsia="微软雅黑"/>
                <w:b w:val="0"/>
                <w:bCs/>
                <w:color w:val="2D73B3"/>
                <w:szCs w:val="21"/>
                <w:u w:val="single"/>
              </w:rPr>
              <w:t xml:space="preserve"> </w:t>
            </w:r>
            <w:r>
              <w:rPr>
                <w:rFonts w:hint="eastAsia" w:ascii="微软雅黑" w:hAnsi="微软雅黑" w:eastAsia="微软雅黑"/>
                <w:b w:val="0"/>
                <w:bCs/>
                <w:color w:val="2D73B3"/>
                <w:szCs w:val="21"/>
                <w:u w:val="single"/>
                <w:lang w:val="en-US" w:eastAsia="zh-CN"/>
              </w:rPr>
              <w:t xml:space="preserve">         </w:t>
            </w:r>
            <w:r>
              <w:rPr>
                <w:rFonts w:ascii="微软雅黑" w:hAnsi="微软雅黑" w:eastAsia="微软雅黑"/>
                <w:b w:val="0"/>
                <w:bCs/>
                <w:color w:val="000000"/>
                <w:szCs w:val="21"/>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14:paraId="7579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907" w:type="dxa"/>
            <w:vAlign w:val="center"/>
          </w:tcPr>
          <w:p w14:paraId="267041AC">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14:paraId="2D020DAB">
            <w:pPr>
              <w:topLinePunct/>
              <w:spacing w:line="440" w:lineRule="exact"/>
              <w:rPr>
                <w:rFonts w:ascii="微软雅黑" w:hAnsi="微软雅黑" w:eastAsia="微软雅黑"/>
                <w:bCs/>
                <w:szCs w:val="21"/>
              </w:rPr>
            </w:pPr>
          </w:p>
        </w:tc>
      </w:tr>
    </w:tbl>
    <w:p w14:paraId="6C58739E">
      <w:r>
        <w:rPr>
          <w:rFonts w:hint="eastAsia"/>
        </w:rPr>
        <w:t>注：</w:t>
      </w:r>
    </w:p>
    <w:p w14:paraId="10359D1E">
      <w:pPr>
        <w:spacing w:line="240" w:lineRule="auto"/>
        <w:rPr>
          <w:rFonts w:hint="eastAsia" w:ascii="宋体" w:hAnsi="宋体" w:eastAsia="宋体" w:cs="宋体"/>
        </w:rPr>
      </w:pPr>
      <w:r>
        <w:rPr>
          <w:rFonts w:hint="eastAsia" w:ascii="宋体" w:hAnsi="宋体" w:eastAsia="宋体" w:cs="宋体"/>
        </w:rPr>
        <w:t>1、报价可参考此表格的形式。</w:t>
      </w:r>
    </w:p>
    <w:p w14:paraId="71A1542F">
      <w:pPr>
        <w:spacing w:line="240" w:lineRule="auto"/>
        <w:rPr>
          <w:rFonts w:hint="eastAsia" w:ascii="宋体" w:hAnsi="宋体" w:eastAsia="宋体" w:cs="宋体"/>
        </w:rPr>
      </w:pPr>
      <w:r>
        <w:rPr>
          <w:rFonts w:hint="eastAsia" w:ascii="宋体" w:hAnsi="宋体" w:eastAsia="宋体" w:cs="宋体"/>
        </w:rPr>
        <w:t>2、询价响应单位如果需要对报价或其它内容加以说明，可在备注一栏中填写。</w:t>
      </w:r>
    </w:p>
    <w:p w14:paraId="33F90396">
      <w:pPr>
        <w:spacing w:line="240" w:lineRule="auto"/>
        <w:rPr>
          <w:rFonts w:hint="eastAsia" w:ascii="宋体" w:hAnsi="宋体" w:eastAsia="宋体" w:cs="宋体"/>
          <w:lang w:eastAsia="zh-CN"/>
        </w:rPr>
      </w:pPr>
      <w:r>
        <w:rPr>
          <w:rFonts w:hint="eastAsia" w:ascii="宋体" w:hAnsi="宋体" w:eastAsia="宋体" w:cs="宋体"/>
        </w:rPr>
        <w:t>3、此表应经法定代表人或询价响应供应商授权代表签名，并盖上公章</w:t>
      </w:r>
      <w:r>
        <w:rPr>
          <w:rFonts w:hint="eastAsia" w:ascii="宋体" w:hAnsi="宋体" w:eastAsia="宋体" w:cs="宋体"/>
          <w:lang w:eastAsia="zh-CN"/>
        </w:rPr>
        <w:t>。</w:t>
      </w:r>
    </w:p>
    <w:p w14:paraId="267C614B">
      <w:pPr>
        <w:spacing w:line="240" w:lineRule="auto"/>
        <w:rPr>
          <w:rFonts w:hint="eastAsia" w:ascii="宋体" w:hAnsi="宋体" w:eastAsia="宋体" w:cs="宋体"/>
          <w:lang w:val="en-US" w:eastAsia="zh-CN"/>
        </w:rPr>
      </w:pPr>
      <w:r>
        <w:rPr>
          <w:rFonts w:hint="eastAsia" w:ascii="宋体" w:hAnsi="宋体" w:eastAsia="宋体" w:cs="宋体"/>
          <w:lang w:val="en-US" w:eastAsia="zh-CN"/>
        </w:rPr>
        <w:t>4、超过百万的项目金额，在</w:t>
      </w:r>
      <w:r>
        <w:rPr>
          <w:rFonts w:hint="eastAsia" w:ascii="宋体" w:hAnsi="宋体" w:eastAsia="宋体" w:cs="宋体"/>
          <w:szCs w:val="21"/>
        </w:rPr>
        <w:t>项目总报价合计</w:t>
      </w:r>
      <w:r>
        <w:rPr>
          <w:rFonts w:hint="eastAsia" w:ascii="宋体" w:hAnsi="宋体" w:eastAsia="宋体" w:cs="宋体"/>
          <w:lang w:val="en-US" w:eastAsia="zh-CN"/>
        </w:rPr>
        <w:t>处，可以以万元为单位填写。</w:t>
      </w:r>
    </w:p>
    <w:p w14:paraId="196B038B">
      <w:pPr>
        <w:topLinePunct/>
        <w:spacing w:line="240" w:lineRule="auto"/>
        <w:jc w:val="left"/>
        <w:rPr>
          <w:rFonts w:hint="eastAsia" w:ascii="微软雅黑" w:hAnsi="微软雅黑" w:eastAsia="微软雅黑"/>
          <w:b w:val="0"/>
          <w:bCs/>
          <w:color w:val="FF0000"/>
          <w:szCs w:val="21"/>
          <w:u w:val="single"/>
          <w:lang w:eastAsia="zh-CN"/>
        </w:rPr>
      </w:pPr>
      <w:r>
        <w:rPr>
          <w:rFonts w:hint="eastAsia" w:ascii="宋体" w:hAnsi="宋体" w:eastAsia="宋体" w:cs="宋体"/>
          <w:lang w:val="en-US" w:eastAsia="zh-CN"/>
        </w:rPr>
        <w:t xml:space="preserve">5、 </w:t>
      </w:r>
      <w:r>
        <w:rPr>
          <w:rFonts w:hint="eastAsia" w:ascii="宋体" w:hAnsi="宋体" w:eastAsia="宋体" w:cs="宋体"/>
          <w:szCs w:val="21"/>
        </w:rPr>
        <w:t>项目总报价</w:t>
      </w:r>
      <w:r>
        <w:rPr>
          <w:rFonts w:hint="eastAsia" w:ascii="宋体" w:hAnsi="宋体" w:eastAsia="宋体" w:cs="宋体"/>
          <w:lang w:val="en-US" w:eastAsia="zh-CN"/>
        </w:rPr>
        <w:t>红字举例部分填写完后请删除</w:t>
      </w:r>
      <w:r>
        <w:rPr>
          <w:rFonts w:hint="eastAsia"/>
          <w:lang w:val="en-US" w:eastAsia="zh-CN"/>
        </w:rPr>
        <w:t xml:space="preserve">。 </w:t>
      </w:r>
    </w:p>
    <w:p w14:paraId="7B94AE25">
      <w:pPr>
        <w:pStyle w:val="41"/>
        <w:numPr>
          <w:ilvl w:val="4"/>
          <w:numId w:val="0"/>
        </w:numPr>
      </w:pPr>
    </w:p>
    <w:p w14:paraId="7F134B7B">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14:paraId="725E5004">
      <w:pPr>
        <w:jc w:val="center"/>
        <w:rPr>
          <w:rFonts w:hint="eastAsia" w:ascii="微软雅黑" w:hAnsi="微软雅黑" w:eastAsia="微软雅黑"/>
          <w:kern w:val="0"/>
          <w:sz w:val="24"/>
        </w:rPr>
      </w:pPr>
    </w:p>
    <w:p w14:paraId="58BF1A14">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14:paraId="247034F4">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14:paraId="39E9ECD9">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14:paraId="7BEC4541">
      <w:pPr>
        <w:rPr>
          <w:b/>
        </w:rPr>
      </w:pPr>
    </w:p>
    <w:p w14:paraId="5D308961">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14:paraId="345D9ED9">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14:paraId="6DAC3966">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26B33524">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省国资委四楼会议室显示屏改造项目</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14:paraId="2C98113F">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14:paraId="696283AB">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14:paraId="4673D24F">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14:paraId="4D6CAD74">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14:paraId="27B8C56E">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14:paraId="7FE7AB48">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14:paraId="5D6364C7">
      <w:pPr>
        <w:keepNext/>
        <w:spacing w:line="600" w:lineRule="exact"/>
        <w:rPr>
          <w:rFonts w:ascii="微软雅黑" w:hAnsi="微软雅黑" w:eastAsia="微软雅黑" w:cs="微软雅黑"/>
          <w:b/>
          <w:sz w:val="24"/>
        </w:rPr>
      </w:pPr>
    </w:p>
    <w:p w14:paraId="125E70BD">
      <w:pPr>
        <w:widowControl/>
        <w:jc w:val="left"/>
        <w:rPr>
          <w:rFonts w:hint="eastAsia" w:ascii="微软雅黑" w:hAnsi="微软雅黑" w:eastAsia="微软雅黑" w:cs="微软雅黑"/>
          <w:b/>
          <w:sz w:val="24"/>
          <w:lang w:eastAsia="zh-CN"/>
        </w:rPr>
      </w:pPr>
    </w:p>
    <w:p w14:paraId="06120200">
      <w:pPr>
        <w:widowControl/>
        <w:jc w:val="left"/>
        <w:rPr>
          <w:rFonts w:hint="eastAsia" w:ascii="微软雅黑" w:hAnsi="微软雅黑" w:eastAsia="微软雅黑" w:cs="微软雅黑"/>
          <w:b/>
          <w:sz w:val="24"/>
          <w:lang w:eastAsia="zh-CN"/>
        </w:rPr>
      </w:pPr>
    </w:p>
    <w:p w14:paraId="6B9B6E6F">
      <w:pPr>
        <w:widowControl/>
        <w:jc w:val="left"/>
        <w:rPr>
          <w:rFonts w:hint="eastAsia" w:ascii="微软雅黑" w:hAnsi="微软雅黑" w:eastAsia="微软雅黑" w:cs="微软雅黑"/>
          <w:b/>
          <w:sz w:val="24"/>
          <w:lang w:eastAsia="zh-CN"/>
        </w:rPr>
      </w:pPr>
    </w:p>
    <w:p w14:paraId="6F6AC281">
      <w:pPr>
        <w:widowControl/>
        <w:jc w:val="left"/>
        <w:rPr>
          <w:rFonts w:hint="eastAsia" w:ascii="微软雅黑" w:hAnsi="微软雅黑" w:eastAsia="微软雅黑" w:cs="微软雅黑"/>
          <w:b/>
          <w:sz w:val="24"/>
          <w:lang w:eastAsia="zh-CN"/>
        </w:rPr>
      </w:pPr>
    </w:p>
    <w:p w14:paraId="2BB46B17">
      <w:pPr>
        <w:widowControl/>
        <w:jc w:val="left"/>
        <w:rPr>
          <w:rFonts w:hint="eastAsia" w:ascii="微软雅黑" w:hAnsi="微软雅黑" w:eastAsia="微软雅黑" w:cs="微软雅黑"/>
          <w:b/>
          <w:sz w:val="24"/>
          <w:lang w:eastAsia="zh-CN"/>
        </w:rPr>
      </w:pPr>
    </w:p>
    <w:p w14:paraId="6A08F65D">
      <w:pPr>
        <w:widowControl/>
        <w:jc w:val="left"/>
        <w:rPr>
          <w:rFonts w:hint="eastAsia" w:ascii="微软雅黑" w:hAnsi="微软雅黑" w:eastAsia="微软雅黑" w:cs="微软雅黑"/>
          <w:b/>
          <w:sz w:val="24"/>
          <w:lang w:eastAsia="zh-CN"/>
        </w:rPr>
      </w:pPr>
    </w:p>
    <w:p w14:paraId="737D281A">
      <w:pPr>
        <w:widowControl/>
        <w:jc w:val="left"/>
        <w:rPr>
          <w:rFonts w:hint="default" w:ascii="微软雅黑" w:hAnsi="微软雅黑" w:eastAsia="微软雅黑" w:cs="微软雅黑"/>
          <w:b/>
          <w:sz w:val="24"/>
          <w:highlight w:val="none"/>
          <w:lang w:val="en-US" w:eastAsia="zh-CN"/>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报价清单及内容</w:t>
      </w:r>
    </w:p>
    <w:tbl>
      <w:tblPr>
        <w:tblStyle w:val="37"/>
        <w:tblW w:w="97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
      <w:tblGrid>
        <w:gridCol w:w="514"/>
        <w:gridCol w:w="1116"/>
        <w:gridCol w:w="864"/>
        <w:gridCol w:w="1169"/>
        <w:gridCol w:w="607"/>
        <w:gridCol w:w="612"/>
        <w:gridCol w:w="1153"/>
        <w:gridCol w:w="1091"/>
        <w:gridCol w:w="2650"/>
      </w:tblGrid>
      <w:tr w14:paraId="755B21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5" w:hRule="atLeast"/>
          <w:jc w:val="center"/>
        </w:trPr>
        <w:tc>
          <w:tcPr>
            <w:tcW w:w="514" w:type="dxa"/>
            <w:tcBorders>
              <w:tl2br w:val="nil"/>
              <w:tr2bl w:val="nil"/>
            </w:tcBorders>
            <w:shd w:val="clear" w:color="auto" w:fill="auto"/>
            <w:vAlign w:val="center"/>
          </w:tcPr>
          <w:p w14:paraId="16048E58">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序号</w:t>
            </w:r>
          </w:p>
        </w:tc>
        <w:tc>
          <w:tcPr>
            <w:tcW w:w="1116" w:type="dxa"/>
            <w:tcBorders>
              <w:tl2br w:val="nil"/>
              <w:tr2bl w:val="nil"/>
            </w:tcBorders>
            <w:shd w:val="clear" w:color="auto" w:fill="auto"/>
            <w:vAlign w:val="center"/>
          </w:tcPr>
          <w:p w14:paraId="04B8F030">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货物名称</w:t>
            </w:r>
          </w:p>
        </w:tc>
        <w:tc>
          <w:tcPr>
            <w:tcW w:w="864" w:type="dxa"/>
            <w:tcBorders>
              <w:tl2br w:val="nil"/>
              <w:tr2bl w:val="nil"/>
            </w:tcBorders>
            <w:shd w:val="clear" w:color="auto" w:fill="auto"/>
            <w:vAlign w:val="center"/>
          </w:tcPr>
          <w:p w14:paraId="3092594F">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规格型号</w:t>
            </w:r>
          </w:p>
        </w:tc>
        <w:tc>
          <w:tcPr>
            <w:tcW w:w="1169" w:type="dxa"/>
            <w:tcBorders>
              <w:tl2br w:val="nil"/>
              <w:tr2bl w:val="nil"/>
            </w:tcBorders>
            <w:shd w:val="clear" w:color="auto" w:fill="auto"/>
            <w:vAlign w:val="center"/>
          </w:tcPr>
          <w:p w14:paraId="56C5E422">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产品描述</w:t>
            </w:r>
          </w:p>
        </w:tc>
        <w:tc>
          <w:tcPr>
            <w:tcW w:w="607" w:type="dxa"/>
            <w:tcBorders>
              <w:tl2br w:val="nil"/>
              <w:tr2bl w:val="nil"/>
            </w:tcBorders>
            <w:shd w:val="clear" w:color="auto" w:fill="auto"/>
            <w:vAlign w:val="center"/>
          </w:tcPr>
          <w:p w14:paraId="63C1C78F">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数量</w:t>
            </w:r>
          </w:p>
        </w:tc>
        <w:tc>
          <w:tcPr>
            <w:tcW w:w="612" w:type="dxa"/>
            <w:tcBorders>
              <w:tl2br w:val="nil"/>
              <w:tr2bl w:val="nil"/>
            </w:tcBorders>
            <w:shd w:val="clear" w:color="auto" w:fill="auto"/>
            <w:vAlign w:val="center"/>
          </w:tcPr>
          <w:p w14:paraId="78952FB5">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单位</w:t>
            </w:r>
          </w:p>
        </w:tc>
        <w:tc>
          <w:tcPr>
            <w:tcW w:w="1153" w:type="dxa"/>
            <w:tcBorders>
              <w:tl2br w:val="nil"/>
              <w:tr2bl w:val="nil"/>
            </w:tcBorders>
            <w:shd w:val="clear" w:color="auto" w:fill="auto"/>
            <w:vAlign w:val="center"/>
          </w:tcPr>
          <w:p w14:paraId="69714D3E">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单价/元</w:t>
            </w:r>
          </w:p>
        </w:tc>
        <w:tc>
          <w:tcPr>
            <w:tcW w:w="1091" w:type="dxa"/>
            <w:tcBorders>
              <w:tl2br w:val="nil"/>
              <w:tr2bl w:val="nil"/>
            </w:tcBorders>
            <w:shd w:val="clear" w:color="auto" w:fill="auto"/>
            <w:vAlign w:val="center"/>
          </w:tcPr>
          <w:p w14:paraId="136B23A2">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合计/元</w:t>
            </w:r>
          </w:p>
        </w:tc>
        <w:tc>
          <w:tcPr>
            <w:tcW w:w="2650" w:type="dxa"/>
            <w:tcBorders>
              <w:tl2br w:val="nil"/>
              <w:tr2bl w:val="nil"/>
            </w:tcBorders>
            <w:shd w:val="clear" w:color="auto" w:fill="auto"/>
            <w:vAlign w:val="top"/>
          </w:tcPr>
          <w:p w14:paraId="3A50738C">
            <w:pPr>
              <w:widowControl/>
              <w:jc w:val="center"/>
              <w:textAlignment w:val="top"/>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备注</w:t>
            </w:r>
          </w:p>
        </w:tc>
      </w:tr>
      <w:tr w14:paraId="3C9483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restart"/>
            <w:tcBorders>
              <w:tl2br w:val="nil"/>
              <w:tr2bl w:val="nil"/>
            </w:tcBorders>
            <w:shd w:val="clear" w:color="auto" w:fill="auto"/>
            <w:vAlign w:val="center"/>
          </w:tcPr>
          <w:p w14:paraId="30259F0B">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1116" w:type="dxa"/>
            <w:tcBorders>
              <w:tl2br w:val="nil"/>
              <w:tr2bl w:val="nil"/>
            </w:tcBorders>
            <w:shd w:val="clear" w:color="auto" w:fill="auto"/>
            <w:vAlign w:val="center"/>
          </w:tcPr>
          <w:p w14:paraId="5F3B14D7">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LED显示屏</w:t>
            </w:r>
          </w:p>
        </w:tc>
        <w:tc>
          <w:tcPr>
            <w:tcW w:w="864" w:type="dxa"/>
            <w:vMerge w:val="restart"/>
            <w:tcBorders>
              <w:tl2br w:val="nil"/>
              <w:tr2bl w:val="nil"/>
            </w:tcBorders>
            <w:shd w:val="clear" w:color="auto" w:fill="auto"/>
            <w:vAlign w:val="center"/>
          </w:tcPr>
          <w:p w14:paraId="479B64E8">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VMQ1.2</w:t>
            </w:r>
          </w:p>
        </w:tc>
        <w:tc>
          <w:tcPr>
            <w:tcW w:w="1169" w:type="dxa"/>
            <w:vMerge w:val="restart"/>
            <w:tcBorders>
              <w:tl2br w:val="nil"/>
              <w:tr2bl w:val="nil"/>
            </w:tcBorders>
            <w:shd w:val="clear" w:color="auto" w:fill="auto"/>
            <w:vAlign w:val="center"/>
          </w:tcPr>
          <w:p w14:paraId="6D1E3BA2">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小间距屏</w:t>
            </w:r>
          </w:p>
        </w:tc>
        <w:tc>
          <w:tcPr>
            <w:tcW w:w="607" w:type="dxa"/>
            <w:vMerge w:val="restart"/>
            <w:tcBorders>
              <w:tl2br w:val="nil"/>
              <w:tr2bl w:val="nil"/>
            </w:tcBorders>
            <w:shd w:val="clear" w:color="auto" w:fill="auto"/>
            <w:vAlign w:val="center"/>
          </w:tcPr>
          <w:p w14:paraId="7749EF2A">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6.2</w:t>
            </w:r>
          </w:p>
        </w:tc>
        <w:tc>
          <w:tcPr>
            <w:tcW w:w="612" w:type="dxa"/>
            <w:vMerge w:val="restart"/>
            <w:tcBorders>
              <w:tl2br w:val="nil"/>
              <w:tr2bl w:val="nil"/>
            </w:tcBorders>
            <w:shd w:val="clear" w:color="auto" w:fill="auto"/>
            <w:vAlign w:val="center"/>
          </w:tcPr>
          <w:p w14:paraId="4061382A">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m2</w:t>
            </w:r>
          </w:p>
        </w:tc>
        <w:tc>
          <w:tcPr>
            <w:tcW w:w="1153" w:type="dxa"/>
            <w:vMerge w:val="restart"/>
            <w:tcBorders>
              <w:tl2br w:val="nil"/>
              <w:tr2bl w:val="nil"/>
            </w:tcBorders>
            <w:shd w:val="clear" w:color="auto" w:fill="auto"/>
            <w:vAlign w:val="center"/>
          </w:tcPr>
          <w:p w14:paraId="3A49673F">
            <w:pPr>
              <w:widowControl/>
              <w:jc w:val="left"/>
              <w:textAlignment w:val="center"/>
              <w:rPr>
                <w:rFonts w:hint="eastAsia" w:ascii="宋体" w:hAnsi="宋体" w:eastAsia="宋体" w:cs="宋体"/>
                <w:i w:val="0"/>
                <w:color w:val="000000"/>
                <w:sz w:val="22"/>
                <w:szCs w:val="22"/>
              </w:rPr>
            </w:pPr>
          </w:p>
        </w:tc>
        <w:tc>
          <w:tcPr>
            <w:tcW w:w="1091" w:type="dxa"/>
            <w:vMerge w:val="restart"/>
            <w:tcBorders>
              <w:tl2br w:val="nil"/>
              <w:tr2bl w:val="nil"/>
            </w:tcBorders>
            <w:shd w:val="clear" w:color="auto" w:fill="auto"/>
            <w:vAlign w:val="center"/>
          </w:tcPr>
          <w:p w14:paraId="5A579093">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2E7BFB35">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显示屏尺寸:W3.52*H1.76m=6.2m²</w:t>
            </w:r>
          </w:p>
        </w:tc>
      </w:tr>
      <w:tr w14:paraId="35EA8E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6FA39A02">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4F1AE4F4">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屏体</w:t>
            </w:r>
          </w:p>
        </w:tc>
        <w:tc>
          <w:tcPr>
            <w:tcW w:w="864" w:type="dxa"/>
            <w:vMerge w:val="continue"/>
            <w:tcBorders>
              <w:tl2br w:val="nil"/>
              <w:tr2bl w:val="nil"/>
            </w:tcBorders>
            <w:shd w:val="clear" w:color="auto" w:fill="auto"/>
            <w:vAlign w:val="center"/>
          </w:tcPr>
          <w:p w14:paraId="6D833E79">
            <w:pPr>
              <w:jc w:val="left"/>
              <w:rPr>
                <w:rFonts w:hint="eastAsia" w:ascii="宋体" w:hAnsi="宋体" w:eastAsia="宋体" w:cs="宋体"/>
                <w:i w:val="0"/>
                <w:color w:val="000000"/>
                <w:sz w:val="22"/>
                <w:szCs w:val="22"/>
              </w:rPr>
            </w:pPr>
          </w:p>
        </w:tc>
        <w:tc>
          <w:tcPr>
            <w:tcW w:w="1169" w:type="dxa"/>
            <w:vMerge w:val="continue"/>
            <w:tcBorders>
              <w:tl2br w:val="nil"/>
              <w:tr2bl w:val="nil"/>
            </w:tcBorders>
            <w:shd w:val="clear" w:color="auto" w:fill="auto"/>
            <w:vAlign w:val="center"/>
          </w:tcPr>
          <w:p w14:paraId="2E4682B0">
            <w:pPr>
              <w:jc w:val="left"/>
              <w:rPr>
                <w:rFonts w:hint="eastAsia" w:ascii="宋体" w:hAnsi="宋体" w:eastAsia="宋体" w:cs="宋体"/>
                <w:i w:val="0"/>
                <w:color w:val="000000"/>
                <w:sz w:val="22"/>
                <w:szCs w:val="22"/>
              </w:rPr>
            </w:pPr>
          </w:p>
        </w:tc>
        <w:tc>
          <w:tcPr>
            <w:tcW w:w="607" w:type="dxa"/>
            <w:vMerge w:val="continue"/>
            <w:tcBorders>
              <w:tl2br w:val="nil"/>
              <w:tr2bl w:val="nil"/>
            </w:tcBorders>
            <w:shd w:val="clear" w:color="auto" w:fill="auto"/>
            <w:vAlign w:val="center"/>
          </w:tcPr>
          <w:p w14:paraId="03366D6B">
            <w:pPr>
              <w:jc w:val="center"/>
              <w:rPr>
                <w:rFonts w:hint="eastAsia" w:ascii="宋体" w:hAnsi="宋体" w:eastAsia="宋体" w:cs="宋体"/>
                <w:i w:val="0"/>
                <w:color w:val="000000"/>
                <w:sz w:val="22"/>
                <w:szCs w:val="22"/>
              </w:rPr>
            </w:pPr>
          </w:p>
        </w:tc>
        <w:tc>
          <w:tcPr>
            <w:tcW w:w="612" w:type="dxa"/>
            <w:vMerge w:val="continue"/>
            <w:tcBorders>
              <w:tl2br w:val="nil"/>
              <w:tr2bl w:val="nil"/>
            </w:tcBorders>
            <w:shd w:val="clear" w:color="auto" w:fill="auto"/>
            <w:vAlign w:val="center"/>
          </w:tcPr>
          <w:p w14:paraId="0D0FBC7F">
            <w:pPr>
              <w:jc w:val="center"/>
              <w:rPr>
                <w:rFonts w:hint="eastAsia" w:ascii="宋体" w:hAnsi="宋体" w:eastAsia="宋体" w:cs="宋体"/>
                <w:i w:val="0"/>
                <w:color w:val="000000"/>
                <w:sz w:val="22"/>
                <w:szCs w:val="22"/>
              </w:rPr>
            </w:pPr>
          </w:p>
        </w:tc>
        <w:tc>
          <w:tcPr>
            <w:tcW w:w="1153" w:type="dxa"/>
            <w:vMerge w:val="continue"/>
            <w:tcBorders>
              <w:tl2br w:val="nil"/>
              <w:tr2bl w:val="nil"/>
            </w:tcBorders>
            <w:shd w:val="clear" w:color="auto" w:fill="auto"/>
            <w:vAlign w:val="center"/>
          </w:tcPr>
          <w:p w14:paraId="22BEDBB0">
            <w:pPr>
              <w:jc w:val="left"/>
              <w:rPr>
                <w:rFonts w:hint="eastAsia" w:ascii="宋体" w:hAnsi="宋体" w:eastAsia="宋体" w:cs="宋体"/>
                <w:i w:val="0"/>
                <w:color w:val="000000"/>
                <w:sz w:val="22"/>
                <w:szCs w:val="22"/>
              </w:rPr>
            </w:pPr>
          </w:p>
        </w:tc>
        <w:tc>
          <w:tcPr>
            <w:tcW w:w="1091" w:type="dxa"/>
            <w:vMerge w:val="continue"/>
            <w:tcBorders>
              <w:tl2br w:val="nil"/>
              <w:tr2bl w:val="nil"/>
            </w:tcBorders>
            <w:shd w:val="clear" w:color="auto" w:fill="auto"/>
            <w:vAlign w:val="center"/>
          </w:tcPr>
          <w:p w14:paraId="104E8CA5">
            <w:pPr>
              <w:jc w:val="left"/>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7C1860BF">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显示屏分辨率: W2816*H1408=3964928像素</w:t>
            </w:r>
          </w:p>
        </w:tc>
      </w:tr>
      <w:tr w14:paraId="5961C2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5047EC34">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0AD776F3">
            <w:pPr>
              <w:rPr>
                <w:rFonts w:hint="eastAsia" w:ascii="宋体" w:hAnsi="宋体" w:eastAsia="宋体" w:cs="宋体"/>
                <w:i w:val="0"/>
                <w:color w:val="000000"/>
                <w:sz w:val="22"/>
                <w:szCs w:val="22"/>
              </w:rPr>
            </w:pPr>
          </w:p>
        </w:tc>
        <w:tc>
          <w:tcPr>
            <w:tcW w:w="864" w:type="dxa"/>
            <w:vMerge w:val="continue"/>
            <w:tcBorders>
              <w:tl2br w:val="nil"/>
              <w:tr2bl w:val="nil"/>
            </w:tcBorders>
            <w:shd w:val="clear" w:color="auto" w:fill="auto"/>
            <w:vAlign w:val="center"/>
          </w:tcPr>
          <w:p w14:paraId="797FD2FB">
            <w:pPr>
              <w:jc w:val="left"/>
              <w:rPr>
                <w:rFonts w:hint="eastAsia" w:ascii="宋体" w:hAnsi="宋体" w:eastAsia="宋体" w:cs="宋体"/>
                <w:i w:val="0"/>
                <w:color w:val="000000"/>
                <w:sz w:val="22"/>
                <w:szCs w:val="22"/>
              </w:rPr>
            </w:pPr>
          </w:p>
        </w:tc>
        <w:tc>
          <w:tcPr>
            <w:tcW w:w="1169" w:type="dxa"/>
            <w:vMerge w:val="continue"/>
            <w:tcBorders>
              <w:tl2br w:val="nil"/>
              <w:tr2bl w:val="nil"/>
            </w:tcBorders>
            <w:shd w:val="clear" w:color="auto" w:fill="auto"/>
            <w:vAlign w:val="center"/>
          </w:tcPr>
          <w:p w14:paraId="73AEF7E4">
            <w:pPr>
              <w:jc w:val="left"/>
              <w:rPr>
                <w:rFonts w:hint="eastAsia" w:ascii="宋体" w:hAnsi="宋体" w:eastAsia="宋体" w:cs="宋体"/>
                <w:i w:val="0"/>
                <w:color w:val="000000"/>
                <w:sz w:val="22"/>
                <w:szCs w:val="22"/>
              </w:rPr>
            </w:pPr>
          </w:p>
        </w:tc>
        <w:tc>
          <w:tcPr>
            <w:tcW w:w="607" w:type="dxa"/>
            <w:vMerge w:val="continue"/>
            <w:tcBorders>
              <w:tl2br w:val="nil"/>
              <w:tr2bl w:val="nil"/>
            </w:tcBorders>
            <w:shd w:val="clear" w:color="auto" w:fill="auto"/>
            <w:vAlign w:val="center"/>
          </w:tcPr>
          <w:p w14:paraId="39BDF8C9">
            <w:pPr>
              <w:jc w:val="center"/>
              <w:rPr>
                <w:rFonts w:hint="eastAsia" w:ascii="宋体" w:hAnsi="宋体" w:eastAsia="宋体" w:cs="宋体"/>
                <w:i w:val="0"/>
                <w:color w:val="000000"/>
                <w:sz w:val="22"/>
                <w:szCs w:val="22"/>
              </w:rPr>
            </w:pPr>
          </w:p>
        </w:tc>
        <w:tc>
          <w:tcPr>
            <w:tcW w:w="612" w:type="dxa"/>
            <w:vMerge w:val="continue"/>
            <w:tcBorders>
              <w:tl2br w:val="nil"/>
              <w:tr2bl w:val="nil"/>
            </w:tcBorders>
            <w:shd w:val="clear" w:color="auto" w:fill="auto"/>
            <w:vAlign w:val="center"/>
          </w:tcPr>
          <w:p w14:paraId="078A56D1">
            <w:pPr>
              <w:jc w:val="center"/>
              <w:rPr>
                <w:rFonts w:hint="eastAsia" w:ascii="宋体" w:hAnsi="宋体" w:eastAsia="宋体" w:cs="宋体"/>
                <w:i w:val="0"/>
                <w:color w:val="000000"/>
                <w:sz w:val="22"/>
                <w:szCs w:val="22"/>
              </w:rPr>
            </w:pPr>
          </w:p>
        </w:tc>
        <w:tc>
          <w:tcPr>
            <w:tcW w:w="1153" w:type="dxa"/>
            <w:vMerge w:val="continue"/>
            <w:tcBorders>
              <w:tl2br w:val="nil"/>
              <w:tr2bl w:val="nil"/>
            </w:tcBorders>
            <w:shd w:val="clear" w:color="auto" w:fill="auto"/>
            <w:vAlign w:val="center"/>
          </w:tcPr>
          <w:p w14:paraId="2409971C">
            <w:pPr>
              <w:jc w:val="left"/>
              <w:rPr>
                <w:rFonts w:hint="eastAsia" w:ascii="宋体" w:hAnsi="宋体" w:eastAsia="宋体" w:cs="宋体"/>
                <w:i w:val="0"/>
                <w:color w:val="000000"/>
                <w:sz w:val="22"/>
                <w:szCs w:val="22"/>
              </w:rPr>
            </w:pPr>
          </w:p>
        </w:tc>
        <w:tc>
          <w:tcPr>
            <w:tcW w:w="1091" w:type="dxa"/>
            <w:vMerge w:val="continue"/>
            <w:tcBorders>
              <w:tl2br w:val="nil"/>
              <w:tr2bl w:val="nil"/>
            </w:tcBorders>
            <w:shd w:val="clear" w:color="auto" w:fill="auto"/>
            <w:vAlign w:val="center"/>
          </w:tcPr>
          <w:p w14:paraId="77D5C4DC">
            <w:pPr>
              <w:jc w:val="left"/>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23995955">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含箱体电源,接收卡</w:t>
            </w:r>
          </w:p>
        </w:tc>
      </w:tr>
      <w:tr w14:paraId="5DD748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restart"/>
            <w:tcBorders>
              <w:tl2br w:val="nil"/>
              <w:tr2bl w:val="nil"/>
            </w:tcBorders>
            <w:shd w:val="clear" w:color="auto" w:fill="auto"/>
            <w:vAlign w:val="center"/>
          </w:tcPr>
          <w:p w14:paraId="12CABB14">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2</w:t>
            </w:r>
          </w:p>
        </w:tc>
        <w:tc>
          <w:tcPr>
            <w:tcW w:w="1116" w:type="dxa"/>
            <w:tcBorders>
              <w:tl2br w:val="nil"/>
              <w:tr2bl w:val="nil"/>
            </w:tcBorders>
            <w:shd w:val="clear" w:color="auto" w:fill="auto"/>
            <w:vAlign w:val="center"/>
          </w:tcPr>
          <w:p w14:paraId="1A1C67FC">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LED显示屏</w:t>
            </w:r>
          </w:p>
        </w:tc>
        <w:tc>
          <w:tcPr>
            <w:tcW w:w="864" w:type="dxa"/>
            <w:tcBorders>
              <w:tl2br w:val="nil"/>
              <w:tr2bl w:val="nil"/>
            </w:tcBorders>
            <w:shd w:val="clear" w:color="auto" w:fill="auto"/>
            <w:vAlign w:val="center"/>
          </w:tcPr>
          <w:p w14:paraId="6F8CD0C3">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LJ-X7</w:t>
            </w:r>
          </w:p>
        </w:tc>
        <w:tc>
          <w:tcPr>
            <w:tcW w:w="1169" w:type="dxa"/>
            <w:tcBorders>
              <w:tl2br w:val="nil"/>
              <w:tr2bl w:val="nil"/>
            </w:tcBorders>
            <w:shd w:val="clear" w:color="auto" w:fill="auto"/>
            <w:vAlign w:val="center"/>
          </w:tcPr>
          <w:p w14:paraId="573C880D">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视频控制器</w:t>
            </w:r>
          </w:p>
        </w:tc>
        <w:tc>
          <w:tcPr>
            <w:tcW w:w="607" w:type="dxa"/>
            <w:tcBorders>
              <w:tl2br w:val="nil"/>
              <w:tr2bl w:val="nil"/>
            </w:tcBorders>
            <w:shd w:val="clear" w:color="auto" w:fill="auto"/>
            <w:vAlign w:val="center"/>
          </w:tcPr>
          <w:p w14:paraId="6F9405CA">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170B332D">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套</w:t>
            </w:r>
          </w:p>
        </w:tc>
        <w:tc>
          <w:tcPr>
            <w:tcW w:w="1153" w:type="dxa"/>
            <w:tcBorders>
              <w:tl2br w:val="nil"/>
              <w:tr2bl w:val="nil"/>
            </w:tcBorders>
            <w:shd w:val="clear" w:color="auto" w:fill="auto"/>
            <w:vAlign w:val="center"/>
          </w:tcPr>
          <w:p w14:paraId="05F6F0BB">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4CBACAC3">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16E5E480">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控制器LJ-X7：1台</w:t>
            </w:r>
          </w:p>
        </w:tc>
      </w:tr>
      <w:tr w14:paraId="3C3E2C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1B9E189F">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0A5BCA2E">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控制系统</w:t>
            </w:r>
          </w:p>
        </w:tc>
        <w:tc>
          <w:tcPr>
            <w:tcW w:w="864" w:type="dxa"/>
            <w:tcBorders>
              <w:tl2br w:val="nil"/>
              <w:tr2bl w:val="nil"/>
            </w:tcBorders>
            <w:shd w:val="clear" w:color="auto" w:fill="auto"/>
            <w:vAlign w:val="center"/>
          </w:tcPr>
          <w:p w14:paraId="02B256BF">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LED_LTs</w:t>
            </w:r>
          </w:p>
        </w:tc>
        <w:tc>
          <w:tcPr>
            <w:tcW w:w="1169" w:type="dxa"/>
            <w:tcBorders>
              <w:tl2br w:val="nil"/>
              <w:tr2bl w:val="nil"/>
            </w:tcBorders>
            <w:shd w:val="clear" w:color="auto" w:fill="auto"/>
            <w:vAlign w:val="center"/>
          </w:tcPr>
          <w:p w14:paraId="70FC0D3B">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播控软件</w:t>
            </w:r>
          </w:p>
        </w:tc>
        <w:tc>
          <w:tcPr>
            <w:tcW w:w="607" w:type="dxa"/>
            <w:tcBorders>
              <w:tl2br w:val="nil"/>
              <w:tr2bl w:val="nil"/>
            </w:tcBorders>
            <w:shd w:val="clear" w:color="auto" w:fill="auto"/>
            <w:vAlign w:val="center"/>
          </w:tcPr>
          <w:p w14:paraId="36EFD8E8">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1EE3D293">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套</w:t>
            </w:r>
          </w:p>
        </w:tc>
        <w:tc>
          <w:tcPr>
            <w:tcW w:w="1153" w:type="dxa"/>
            <w:tcBorders>
              <w:tl2br w:val="nil"/>
              <w:tr2bl w:val="nil"/>
            </w:tcBorders>
            <w:shd w:val="clear" w:color="auto" w:fill="auto"/>
            <w:vAlign w:val="center"/>
          </w:tcPr>
          <w:p w14:paraId="2F87A58F">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630221D5">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center"/>
          </w:tcPr>
          <w:p w14:paraId="6CE97404">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播放、控制软件赠送</w:t>
            </w:r>
          </w:p>
        </w:tc>
      </w:tr>
      <w:tr w14:paraId="7BD711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0BEAB5E3">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00075D9B">
            <w:pPr>
              <w:rPr>
                <w:rFonts w:hint="eastAsia" w:ascii="宋体" w:hAnsi="宋体" w:eastAsia="宋体" w:cs="宋体"/>
                <w:i w:val="0"/>
                <w:color w:val="000000"/>
                <w:sz w:val="22"/>
                <w:szCs w:val="22"/>
              </w:rPr>
            </w:pPr>
          </w:p>
        </w:tc>
        <w:tc>
          <w:tcPr>
            <w:tcW w:w="864" w:type="dxa"/>
            <w:tcBorders>
              <w:tl2br w:val="nil"/>
              <w:tr2bl w:val="nil"/>
            </w:tcBorders>
            <w:shd w:val="clear" w:color="auto" w:fill="auto"/>
            <w:vAlign w:val="center"/>
          </w:tcPr>
          <w:p w14:paraId="069C140C">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定制</w:t>
            </w:r>
          </w:p>
        </w:tc>
        <w:tc>
          <w:tcPr>
            <w:tcW w:w="1169" w:type="dxa"/>
            <w:tcBorders>
              <w:tl2br w:val="nil"/>
              <w:tr2bl w:val="nil"/>
            </w:tcBorders>
            <w:shd w:val="clear" w:color="auto" w:fill="auto"/>
            <w:vAlign w:val="center"/>
          </w:tcPr>
          <w:p w14:paraId="6AC100D0">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控制电脑</w:t>
            </w:r>
          </w:p>
        </w:tc>
        <w:tc>
          <w:tcPr>
            <w:tcW w:w="607" w:type="dxa"/>
            <w:tcBorders>
              <w:tl2br w:val="nil"/>
              <w:tr2bl w:val="nil"/>
            </w:tcBorders>
            <w:shd w:val="clear" w:color="auto" w:fill="auto"/>
            <w:vAlign w:val="center"/>
          </w:tcPr>
          <w:p w14:paraId="43845306">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73A3DBB3">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台</w:t>
            </w:r>
          </w:p>
        </w:tc>
        <w:tc>
          <w:tcPr>
            <w:tcW w:w="1153" w:type="dxa"/>
            <w:tcBorders>
              <w:tl2br w:val="nil"/>
              <w:tr2bl w:val="nil"/>
            </w:tcBorders>
            <w:shd w:val="clear" w:color="auto" w:fill="auto"/>
            <w:vAlign w:val="center"/>
          </w:tcPr>
          <w:p w14:paraId="2F5CC312">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585E3360">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center"/>
          </w:tcPr>
          <w:p w14:paraId="096E8726">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(业主提供）</w:t>
            </w:r>
          </w:p>
        </w:tc>
      </w:tr>
      <w:tr w14:paraId="22AA96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restart"/>
            <w:tcBorders>
              <w:tl2br w:val="nil"/>
              <w:tr2bl w:val="nil"/>
            </w:tcBorders>
            <w:shd w:val="clear" w:color="auto" w:fill="auto"/>
            <w:vAlign w:val="center"/>
          </w:tcPr>
          <w:p w14:paraId="652B9CC2">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3</w:t>
            </w:r>
          </w:p>
        </w:tc>
        <w:tc>
          <w:tcPr>
            <w:tcW w:w="1116" w:type="dxa"/>
            <w:tcBorders>
              <w:tl2br w:val="nil"/>
              <w:tr2bl w:val="nil"/>
            </w:tcBorders>
            <w:shd w:val="clear" w:color="auto" w:fill="auto"/>
            <w:vAlign w:val="center"/>
          </w:tcPr>
          <w:p w14:paraId="66FFB432">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LED显示屏</w:t>
            </w:r>
          </w:p>
        </w:tc>
        <w:tc>
          <w:tcPr>
            <w:tcW w:w="864" w:type="dxa"/>
            <w:tcBorders>
              <w:tl2br w:val="nil"/>
              <w:tr2bl w:val="nil"/>
            </w:tcBorders>
            <w:shd w:val="clear" w:color="auto" w:fill="auto"/>
            <w:vAlign w:val="center"/>
          </w:tcPr>
          <w:p w14:paraId="4B7A2E18">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XL10_B</w:t>
            </w:r>
          </w:p>
        </w:tc>
        <w:tc>
          <w:tcPr>
            <w:tcW w:w="1169" w:type="dxa"/>
            <w:tcBorders>
              <w:tl2br w:val="nil"/>
              <w:tr2bl w:val="nil"/>
            </w:tcBorders>
            <w:shd w:val="clear" w:color="auto" w:fill="auto"/>
            <w:vAlign w:val="center"/>
          </w:tcPr>
          <w:p w14:paraId="21D9F1F1">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动力配电柜</w:t>
            </w:r>
          </w:p>
        </w:tc>
        <w:tc>
          <w:tcPr>
            <w:tcW w:w="607" w:type="dxa"/>
            <w:tcBorders>
              <w:tl2br w:val="nil"/>
              <w:tr2bl w:val="nil"/>
            </w:tcBorders>
            <w:shd w:val="clear" w:color="auto" w:fill="auto"/>
            <w:vAlign w:val="center"/>
          </w:tcPr>
          <w:p w14:paraId="74F30D82">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4CE58615">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台</w:t>
            </w:r>
          </w:p>
        </w:tc>
        <w:tc>
          <w:tcPr>
            <w:tcW w:w="1153" w:type="dxa"/>
            <w:tcBorders>
              <w:tl2br w:val="nil"/>
              <w:tr2bl w:val="nil"/>
            </w:tcBorders>
            <w:shd w:val="clear" w:color="auto" w:fill="auto"/>
            <w:vAlign w:val="center"/>
          </w:tcPr>
          <w:p w14:paraId="16565362">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6C971081">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7E659183">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10KW</w:t>
            </w:r>
          </w:p>
        </w:tc>
      </w:tr>
      <w:tr w14:paraId="7E8169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30BBAEF5">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2FC122F1">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配件</w:t>
            </w:r>
          </w:p>
        </w:tc>
        <w:tc>
          <w:tcPr>
            <w:tcW w:w="864" w:type="dxa"/>
            <w:vMerge w:val="restart"/>
            <w:tcBorders>
              <w:tl2br w:val="nil"/>
              <w:tr2bl w:val="nil"/>
            </w:tcBorders>
            <w:shd w:val="clear" w:color="auto" w:fill="auto"/>
            <w:vAlign w:val="center"/>
          </w:tcPr>
          <w:p w14:paraId="0BF52D22">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YJV-3×4㎡</w:t>
            </w:r>
          </w:p>
        </w:tc>
        <w:tc>
          <w:tcPr>
            <w:tcW w:w="1169" w:type="dxa"/>
            <w:tcBorders>
              <w:tl2br w:val="nil"/>
              <w:tr2bl w:val="nil"/>
            </w:tcBorders>
            <w:shd w:val="clear" w:color="auto" w:fill="auto"/>
            <w:vAlign w:val="center"/>
          </w:tcPr>
          <w:p w14:paraId="46858246">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主电缆：</w:t>
            </w:r>
          </w:p>
        </w:tc>
        <w:tc>
          <w:tcPr>
            <w:tcW w:w="607" w:type="dxa"/>
            <w:vMerge w:val="restart"/>
            <w:tcBorders>
              <w:tl2br w:val="nil"/>
              <w:tr2bl w:val="nil"/>
            </w:tcBorders>
            <w:shd w:val="clear" w:color="auto" w:fill="auto"/>
            <w:vAlign w:val="center"/>
          </w:tcPr>
          <w:p w14:paraId="25D684C1">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vMerge w:val="restart"/>
            <w:tcBorders>
              <w:tl2br w:val="nil"/>
              <w:tr2bl w:val="nil"/>
            </w:tcBorders>
            <w:shd w:val="clear" w:color="auto" w:fill="auto"/>
            <w:vAlign w:val="center"/>
          </w:tcPr>
          <w:p w14:paraId="0FD310A3">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153" w:type="dxa"/>
            <w:vMerge w:val="restart"/>
            <w:tcBorders>
              <w:tl2br w:val="nil"/>
              <w:tr2bl w:val="nil"/>
            </w:tcBorders>
            <w:shd w:val="clear" w:color="auto" w:fill="auto"/>
            <w:vAlign w:val="center"/>
          </w:tcPr>
          <w:p w14:paraId="25B470F4">
            <w:pPr>
              <w:widowControl/>
              <w:jc w:val="left"/>
              <w:textAlignment w:val="center"/>
              <w:rPr>
                <w:rFonts w:hint="eastAsia" w:ascii="宋体" w:hAnsi="宋体" w:eastAsia="宋体" w:cs="宋体"/>
                <w:i w:val="0"/>
                <w:color w:val="000000"/>
                <w:sz w:val="22"/>
                <w:szCs w:val="22"/>
              </w:rPr>
            </w:pPr>
          </w:p>
        </w:tc>
        <w:tc>
          <w:tcPr>
            <w:tcW w:w="1091" w:type="dxa"/>
            <w:vMerge w:val="restart"/>
            <w:tcBorders>
              <w:tl2br w:val="nil"/>
              <w:tr2bl w:val="nil"/>
            </w:tcBorders>
            <w:shd w:val="clear" w:color="auto" w:fill="auto"/>
            <w:vAlign w:val="center"/>
          </w:tcPr>
          <w:p w14:paraId="1F63D524">
            <w:pPr>
              <w:widowControl/>
              <w:jc w:val="left"/>
              <w:textAlignment w:val="center"/>
              <w:rPr>
                <w:rFonts w:hint="eastAsia" w:ascii="宋体" w:hAnsi="宋体" w:eastAsia="宋体" w:cs="宋体"/>
                <w:i w:val="0"/>
                <w:color w:val="000000"/>
                <w:sz w:val="22"/>
                <w:szCs w:val="22"/>
              </w:rPr>
            </w:pPr>
          </w:p>
        </w:tc>
        <w:tc>
          <w:tcPr>
            <w:tcW w:w="2650" w:type="dxa"/>
            <w:vMerge w:val="restart"/>
            <w:tcBorders>
              <w:tl2br w:val="nil"/>
              <w:tr2bl w:val="nil"/>
            </w:tcBorders>
            <w:shd w:val="clear" w:color="auto" w:fill="auto"/>
            <w:vAlign w:val="top"/>
          </w:tcPr>
          <w:p w14:paraId="2225BD29">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配电箱进线电缆,甲方配合拉至屏体</w:t>
            </w:r>
          </w:p>
        </w:tc>
      </w:tr>
      <w:tr w14:paraId="21F9FC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5F218D94">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2F43D4F3">
            <w:pPr>
              <w:rPr>
                <w:rFonts w:hint="eastAsia" w:ascii="宋体" w:hAnsi="宋体" w:eastAsia="宋体" w:cs="宋体"/>
                <w:i w:val="0"/>
                <w:color w:val="000000"/>
                <w:sz w:val="22"/>
                <w:szCs w:val="22"/>
              </w:rPr>
            </w:pPr>
          </w:p>
        </w:tc>
        <w:tc>
          <w:tcPr>
            <w:tcW w:w="864" w:type="dxa"/>
            <w:vMerge w:val="continue"/>
            <w:tcBorders>
              <w:tl2br w:val="nil"/>
              <w:tr2bl w:val="nil"/>
            </w:tcBorders>
            <w:shd w:val="clear" w:color="auto" w:fill="auto"/>
            <w:vAlign w:val="center"/>
          </w:tcPr>
          <w:p w14:paraId="6145FAAD">
            <w:pPr>
              <w:jc w:val="left"/>
              <w:rPr>
                <w:rFonts w:hint="eastAsia" w:ascii="宋体" w:hAnsi="宋体" w:eastAsia="宋体" w:cs="宋体"/>
                <w:i w:val="0"/>
                <w:color w:val="000000"/>
                <w:sz w:val="22"/>
                <w:szCs w:val="22"/>
              </w:rPr>
            </w:pPr>
          </w:p>
        </w:tc>
        <w:tc>
          <w:tcPr>
            <w:tcW w:w="1169" w:type="dxa"/>
            <w:tcBorders>
              <w:tl2br w:val="nil"/>
              <w:tr2bl w:val="nil"/>
            </w:tcBorders>
            <w:shd w:val="clear" w:color="auto" w:fill="auto"/>
            <w:vAlign w:val="center"/>
          </w:tcPr>
          <w:p w14:paraId="7D9FD614">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YJV-5×6㎡</w:t>
            </w:r>
          </w:p>
        </w:tc>
        <w:tc>
          <w:tcPr>
            <w:tcW w:w="607" w:type="dxa"/>
            <w:vMerge w:val="continue"/>
            <w:tcBorders>
              <w:tl2br w:val="nil"/>
              <w:tr2bl w:val="nil"/>
            </w:tcBorders>
            <w:shd w:val="clear" w:color="auto" w:fill="auto"/>
            <w:vAlign w:val="center"/>
          </w:tcPr>
          <w:p w14:paraId="3266385B">
            <w:pPr>
              <w:jc w:val="center"/>
              <w:rPr>
                <w:rFonts w:hint="eastAsia" w:ascii="宋体" w:hAnsi="宋体" w:eastAsia="宋体" w:cs="宋体"/>
                <w:i w:val="0"/>
                <w:color w:val="000000"/>
                <w:sz w:val="22"/>
                <w:szCs w:val="22"/>
              </w:rPr>
            </w:pPr>
          </w:p>
        </w:tc>
        <w:tc>
          <w:tcPr>
            <w:tcW w:w="612" w:type="dxa"/>
            <w:vMerge w:val="continue"/>
            <w:tcBorders>
              <w:tl2br w:val="nil"/>
              <w:tr2bl w:val="nil"/>
            </w:tcBorders>
            <w:shd w:val="clear" w:color="auto" w:fill="auto"/>
            <w:vAlign w:val="center"/>
          </w:tcPr>
          <w:p w14:paraId="4EFAF99E">
            <w:pPr>
              <w:jc w:val="center"/>
              <w:rPr>
                <w:rFonts w:hint="eastAsia" w:ascii="宋体" w:hAnsi="宋体" w:eastAsia="宋体" w:cs="宋体"/>
                <w:i w:val="0"/>
                <w:color w:val="000000"/>
                <w:sz w:val="22"/>
                <w:szCs w:val="22"/>
              </w:rPr>
            </w:pPr>
          </w:p>
        </w:tc>
        <w:tc>
          <w:tcPr>
            <w:tcW w:w="1153" w:type="dxa"/>
            <w:vMerge w:val="continue"/>
            <w:tcBorders>
              <w:tl2br w:val="nil"/>
              <w:tr2bl w:val="nil"/>
            </w:tcBorders>
            <w:shd w:val="clear" w:color="auto" w:fill="auto"/>
            <w:vAlign w:val="center"/>
          </w:tcPr>
          <w:p w14:paraId="59C7906F">
            <w:pPr>
              <w:jc w:val="left"/>
              <w:rPr>
                <w:rFonts w:hint="eastAsia" w:ascii="宋体" w:hAnsi="宋体" w:eastAsia="宋体" w:cs="宋体"/>
                <w:i w:val="0"/>
                <w:color w:val="000000"/>
                <w:sz w:val="22"/>
                <w:szCs w:val="22"/>
              </w:rPr>
            </w:pPr>
          </w:p>
        </w:tc>
        <w:tc>
          <w:tcPr>
            <w:tcW w:w="1091" w:type="dxa"/>
            <w:vMerge w:val="continue"/>
            <w:tcBorders>
              <w:tl2br w:val="nil"/>
              <w:tr2bl w:val="nil"/>
            </w:tcBorders>
            <w:shd w:val="clear" w:color="auto" w:fill="auto"/>
            <w:vAlign w:val="center"/>
          </w:tcPr>
          <w:p w14:paraId="13730E42">
            <w:pPr>
              <w:jc w:val="left"/>
              <w:rPr>
                <w:rFonts w:hint="eastAsia" w:ascii="宋体" w:hAnsi="宋体" w:eastAsia="宋体" w:cs="宋体"/>
                <w:i w:val="0"/>
                <w:color w:val="000000"/>
                <w:sz w:val="22"/>
                <w:szCs w:val="22"/>
              </w:rPr>
            </w:pPr>
          </w:p>
        </w:tc>
        <w:tc>
          <w:tcPr>
            <w:tcW w:w="2650" w:type="dxa"/>
            <w:vMerge w:val="continue"/>
            <w:tcBorders>
              <w:tl2br w:val="nil"/>
              <w:tr2bl w:val="nil"/>
            </w:tcBorders>
            <w:shd w:val="clear" w:color="auto" w:fill="auto"/>
            <w:vAlign w:val="top"/>
          </w:tcPr>
          <w:p w14:paraId="4A404B2D">
            <w:pPr>
              <w:jc w:val="left"/>
              <w:rPr>
                <w:rFonts w:hint="eastAsia" w:ascii="宋体" w:hAnsi="宋体" w:eastAsia="宋体" w:cs="宋体"/>
                <w:i w:val="0"/>
                <w:color w:val="000000"/>
                <w:sz w:val="22"/>
                <w:szCs w:val="22"/>
              </w:rPr>
            </w:pPr>
          </w:p>
        </w:tc>
      </w:tr>
      <w:tr w14:paraId="2F8EC8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183A9FD5">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34FD7C8A">
            <w:pPr>
              <w:rPr>
                <w:rFonts w:hint="eastAsia" w:ascii="宋体" w:hAnsi="宋体" w:eastAsia="宋体" w:cs="宋体"/>
                <w:i w:val="0"/>
                <w:color w:val="000000"/>
                <w:sz w:val="22"/>
                <w:szCs w:val="22"/>
              </w:rPr>
            </w:pPr>
          </w:p>
        </w:tc>
        <w:tc>
          <w:tcPr>
            <w:tcW w:w="864" w:type="dxa"/>
            <w:tcBorders>
              <w:tl2br w:val="nil"/>
              <w:tr2bl w:val="nil"/>
            </w:tcBorders>
            <w:shd w:val="clear" w:color="auto" w:fill="auto"/>
            <w:vAlign w:val="center"/>
          </w:tcPr>
          <w:p w14:paraId="0BCA0ED4">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RVV-4×1.5mm2</w:t>
            </w:r>
          </w:p>
        </w:tc>
        <w:tc>
          <w:tcPr>
            <w:tcW w:w="1169" w:type="dxa"/>
            <w:tcBorders>
              <w:tl2br w:val="nil"/>
              <w:tr2bl w:val="nil"/>
            </w:tcBorders>
            <w:shd w:val="clear" w:color="auto" w:fill="auto"/>
            <w:vAlign w:val="center"/>
          </w:tcPr>
          <w:p w14:paraId="76792DB8">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远程上电线</w:t>
            </w:r>
          </w:p>
        </w:tc>
        <w:tc>
          <w:tcPr>
            <w:tcW w:w="607" w:type="dxa"/>
            <w:tcBorders>
              <w:tl2br w:val="nil"/>
              <w:tr2bl w:val="nil"/>
            </w:tcBorders>
            <w:shd w:val="clear" w:color="auto" w:fill="auto"/>
            <w:vAlign w:val="center"/>
          </w:tcPr>
          <w:p w14:paraId="26DDF79E">
            <w:pPr>
              <w:widowControl/>
              <w:jc w:val="center"/>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32E65372">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153" w:type="dxa"/>
            <w:tcBorders>
              <w:tl2br w:val="nil"/>
              <w:tr2bl w:val="nil"/>
            </w:tcBorders>
            <w:shd w:val="clear" w:color="auto" w:fill="auto"/>
            <w:vAlign w:val="center"/>
          </w:tcPr>
          <w:p w14:paraId="06E21077">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34CF174F">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69886C97">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远程上电控制线</w:t>
            </w:r>
          </w:p>
        </w:tc>
      </w:tr>
      <w:tr w14:paraId="4CAE43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7F1E0B8A">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064C6C93">
            <w:pPr>
              <w:rPr>
                <w:rFonts w:hint="eastAsia" w:ascii="宋体" w:hAnsi="宋体" w:eastAsia="宋体" w:cs="宋体"/>
                <w:i w:val="0"/>
                <w:color w:val="000000"/>
                <w:sz w:val="22"/>
                <w:szCs w:val="22"/>
              </w:rPr>
            </w:pPr>
          </w:p>
        </w:tc>
        <w:tc>
          <w:tcPr>
            <w:tcW w:w="864" w:type="dxa"/>
            <w:tcBorders>
              <w:tl2br w:val="nil"/>
              <w:tr2bl w:val="nil"/>
            </w:tcBorders>
            <w:shd w:val="clear" w:color="auto" w:fill="auto"/>
            <w:vAlign w:val="center"/>
          </w:tcPr>
          <w:p w14:paraId="34132BED">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Cat5e</w:t>
            </w:r>
          </w:p>
        </w:tc>
        <w:tc>
          <w:tcPr>
            <w:tcW w:w="1169" w:type="dxa"/>
            <w:tcBorders>
              <w:tl2br w:val="nil"/>
              <w:tr2bl w:val="nil"/>
            </w:tcBorders>
            <w:shd w:val="clear" w:color="auto" w:fill="auto"/>
            <w:vAlign w:val="center"/>
          </w:tcPr>
          <w:p w14:paraId="329E2473">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通讯线</w:t>
            </w:r>
          </w:p>
        </w:tc>
        <w:tc>
          <w:tcPr>
            <w:tcW w:w="607" w:type="dxa"/>
            <w:tcBorders>
              <w:tl2br w:val="nil"/>
              <w:tr2bl w:val="nil"/>
            </w:tcBorders>
            <w:shd w:val="clear" w:color="auto" w:fill="auto"/>
            <w:vAlign w:val="center"/>
          </w:tcPr>
          <w:p w14:paraId="5298B5A8">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7F1FF226">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153" w:type="dxa"/>
            <w:tcBorders>
              <w:tl2br w:val="nil"/>
              <w:tr2bl w:val="nil"/>
            </w:tcBorders>
            <w:shd w:val="clear" w:color="auto" w:fill="auto"/>
            <w:vAlign w:val="center"/>
          </w:tcPr>
          <w:p w14:paraId="21429153">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4AC23469">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22F00194">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超五类双绞线(发送卡至屏，超100米需用光纤)</w:t>
            </w:r>
          </w:p>
        </w:tc>
      </w:tr>
      <w:tr w14:paraId="386805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restart"/>
            <w:tcBorders>
              <w:tl2br w:val="nil"/>
              <w:tr2bl w:val="nil"/>
            </w:tcBorders>
            <w:shd w:val="clear" w:color="auto" w:fill="auto"/>
            <w:vAlign w:val="center"/>
          </w:tcPr>
          <w:p w14:paraId="10A2A5AF">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4</w:t>
            </w:r>
          </w:p>
        </w:tc>
        <w:tc>
          <w:tcPr>
            <w:tcW w:w="1116" w:type="dxa"/>
            <w:tcBorders>
              <w:tl2br w:val="nil"/>
              <w:tr2bl w:val="nil"/>
            </w:tcBorders>
            <w:shd w:val="clear" w:color="auto" w:fill="auto"/>
            <w:vAlign w:val="center"/>
          </w:tcPr>
          <w:p w14:paraId="585EB75A">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LED显示屏</w:t>
            </w:r>
          </w:p>
        </w:tc>
        <w:tc>
          <w:tcPr>
            <w:tcW w:w="864" w:type="dxa"/>
            <w:tcBorders>
              <w:tl2br w:val="nil"/>
              <w:tr2bl w:val="nil"/>
            </w:tcBorders>
            <w:shd w:val="clear" w:color="auto" w:fill="auto"/>
            <w:vAlign w:val="center"/>
          </w:tcPr>
          <w:p w14:paraId="4BE298C4">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定制</w:t>
            </w:r>
          </w:p>
        </w:tc>
        <w:tc>
          <w:tcPr>
            <w:tcW w:w="1169" w:type="dxa"/>
            <w:tcBorders>
              <w:tl2br w:val="nil"/>
              <w:tr2bl w:val="nil"/>
            </w:tcBorders>
            <w:shd w:val="clear" w:color="auto" w:fill="auto"/>
            <w:vAlign w:val="center"/>
          </w:tcPr>
          <w:p w14:paraId="35C3CD11">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显示屏钢结构装饰及包边</w:t>
            </w:r>
          </w:p>
        </w:tc>
        <w:tc>
          <w:tcPr>
            <w:tcW w:w="607" w:type="dxa"/>
            <w:tcBorders>
              <w:tl2br w:val="nil"/>
              <w:tr2bl w:val="nil"/>
            </w:tcBorders>
            <w:shd w:val="clear" w:color="auto" w:fill="auto"/>
            <w:vAlign w:val="center"/>
          </w:tcPr>
          <w:p w14:paraId="5F564BFC">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6.2</w:t>
            </w:r>
          </w:p>
        </w:tc>
        <w:tc>
          <w:tcPr>
            <w:tcW w:w="612" w:type="dxa"/>
            <w:tcBorders>
              <w:tl2br w:val="nil"/>
              <w:tr2bl w:val="nil"/>
            </w:tcBorders>
            <w:shd w:val="clear" w:color="auto" w:fill="auto"/>
            <w:vAlign w:val="center"/>
          </w:tcPr>
          <w:p w14:paraId="0D000AFE">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m2</w:t>
            </w:r>
          </w:p>
        </w:tc>
        <w:tc>
          <w:tcPr>
            <w:tcW w:w="1153" w:type="dxa"/>
            <w:tcBorders>
              <w:tl2br w:val="nil"/>
              <w:tr2bl w:val="nil"/>
            </w:tcBorders>
            <w:shd w:val="clear" w:color="auto" w:fill="auto"/>
            <w:vAlign w:val="center"/>
          </w:tcPr>
          <w:p w14:paraId="6E344A6D">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22410E95">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2C6DF8BD">
            <w:pPr>
              <w:jc w:val="left"/>
              <w:rPr>
                <w:rFonts w:hint="eastAsia" w:ascii="宋体" w:hAnsi="宋体" w:eastAsia="宋体" w:cs="宋体"/>
                <w:i w:val="0"/>
                <w:color w:val="000000"/>
                <w:sz w:val="22"/>
                <w:szCs w:val="22"/>
              </w:rPr>
            </w:pPr>
          </w:p>
        </w:tc>
      </w:tr>
      <w:tr w14:paraId="78C624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54B064E5">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7BC68769">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工程调装</w:t>
            </w:r>
          </w:p>
        </w:tc>
        <w:tc>
          <w:tcPr>
            <w:tcW w:w="864" w:type="dxa"/>
            <w:tcBorders>
              <w:tl2br w:val="nil"/>
              <w:tr2bl w:val="nil"/>
            </w:tcBorders>
            <w:shd w:val="clear" w:color="auto" w:fill="auto"/>
            <w:vAlign w:val="center"/>
          </w:tcPr>
          <w:p w14:paraId="7816854C">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配套</w:t>
            </w:r>
          </w:p>
        </w:tc>
        <w:tc>
          <w:tcPr>
            <w:tcW w:w="1169" w:type="dxa"/>
            <w:tcBorders>
              <w:tl2br w:val="nil"/>
              <w:tr2bl w:val="nil"/>
            </w:tcBorders>
            <w:shd w:val="clear" w:color="auto" w:fill="auto"/>
            <w:vAlign w:val="center"/>
          </w:tcPr>
          <w:p w14:paraId="5A68F53B">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工具\辅材\备品备件</w:t>
            </w:r>
          </w:p>
        </w:tc>
        <w:tc>
          <w:tcPr>
            <w:tcW w:w="607" w:type="dxa"/>
            <w:tcBorders>
              <w:tl2br w:val="nil"/>
              <w:tr2bl w:val="nil"/>
            </w:tcBorders>
            <w:shd w:val="clear" w:color="auto" w:fill="auto"/>
            <w:vAlign w:val="center"/>
          </w:tcPr>
          <w:p w14:paraId="3927F183">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676E7911">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153" w:type="dxa"/>
            <w:tcBorders>
              <w:tl2br w:val="nil"/>
              <w:tr2bl w:val="nil"/>
            </w:tcBorders>
            <w:shd w:val="clear" w:color="auto" w:fill="auto"/>
            <w:vAlign w:val="center"/>
          </w:tcPr>
          <w:p w14:paraId="30F00CB5">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357D9FDE">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5E230296">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原厂模组2张，电源2个，接收卡2张</w:t>
            </w:r>
          </w:p>
        </w:tc>
      </w:tr>
      <w:tr w14:paraId="28859C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15" w:type="dxa"/>
            <w:left w:w="15" w:type="dxa"/>
            <w:bottom w:w="15" w:type="dxa"/>
            <w:right w:w="15" w:type="dxa"/>
          </w:tblCellMar>
        </w:tblPrEx>
        <w:trPr>
          <w:trHeight w:val="283" w:hRule="atLeast"/>
          <w:jc w:val="center"/>
        </w:trPr>
        <w:tc>
          <w:tcPr>
            <w:tcW w:w="514" w:type="dxa"/>
            <w:vMerge w:val="continue"/>
            <w:tcBorders>
              <w:tl2br w:val="nil"/>
              <w:tr2bl w:val="nil"/>
            </w:tcBorders>
            <w:shd w:val="clear" w:color="auto" w:fill="auto"/>
            <w:vAlign w:val="center"/>
          </w:tcPr>
          <w:p w14:paraId="0643F927">
            <w:pPr>
              <w:jc w:val="center"/>
              <w:rPr>
                <w:rFonts w:hint="eastAsia" w:ascii="宋体" w:hAnsi="宋体" w:eastAsia="宋体" w:cs="宋体"/>
                <w:i w:val="0"/>
                <w:color w:val="000000"/>
                <w:sz w:val="22"/>
                <w:szCs w:val="22"/>
              </w:rPr>
            </w:pPr>
          </w:p>
        </w:tc>
        <w:tc>
          <w:tcPr>
            <w:tcW w:w="1116" w:type="dxa"/>
            <w:tcBorders>
              <w:tl2br w:val="nil"/>
              <w:tr2bl w:val="nil"/>
            </w:tcBorders>
            <w:shd w:val="clear" w:color="auto" w:fill="auto"/>
            <w:vAlign w:val="center"/>
          </w:tcPr>
          <w:p w14:paraId="38ECE8D1">
            <w:pPr>
              <w:rPr>
                <w:rFonts w:hint="eastAsia" w:ascii="宋体" w:hAnsi="宋体" w:eastAsia="宋体" w:cs="宋体"/>
                <w:i w:val="0"/>
                <w:color w:val="000000"/>
                <w:sz w:val="22"/>
                <w:szCs w:val="22"/>
              </w:rPr>
            </w:pPr>
          </w:p>
        </w:tc>
        <w:tc>
          <w:tcPr>
            <w:tcW w:w="864" w:type="dxa"/>
            <w:tcBorders>
              <w:tl2br w:val="nil"/>
              <w:tr2bl w:val="nil"/>
            </w:tcBorders>
            <w:shd w:val="clear" w:color="auto" w:fill="auto"/>
            <w:vAlign w:val="center"/>
          </w:tcPr>
          <w:p w14:paraId="0064F966">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w:t>
            </w:r>
          </w:p>
        </w:tc>
        <w:tc>
          <w:tcPr>
            <w:tcW w:w="1169" w:type="dxa"/>
            <w:tcBorders>
              <w:tl2br w:val="nil"/>
              <w:tr2bl w:val="nil"/>
            </w:tcBorders>
            <w:shd w:val="clear" w:color="auto" w:fill="auto"/>
            <w:vAlign w:val="center"/>
          </w:tcPr>
          <w:p w14:paraId="41459E6C">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包装\运输\保险</w:t>
            </w:r>
          </w:p>
        </w:tc>
        <w:tc>
          <w:tcPr>
            <w:tcW w:w="607" w:type="dxa"/>
            <w:tcBorders>
              <w:tl2br w:val="nil"/>
              <w:tr2bl w:val="nil"/>
            </w:tcBorders>
            <w:shd w:val="clear" w:color="auto" w:fill="auto"/>
            <w:vAlign w:val="center"/>
          </w:tcPr>
          <w:p w14:paraId="7EF4FC8C">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1</w:t>
            </w:r>
          </w:p>
        </w:tc>
        <w:tc>
          <w:tcPr>
            <w:tcW w:w="612" w:type="dxa"/>
            <w:tcBorders>
              <w:tl2br w:val="nil"/>
              <w:tr2bl w:val="nil"/>
            </w:tcBorders>
            <w:shd w:val="clear" w:color="auto" w:fill="auto"/>
            <w:vAlign w:val="center"/>
          </w:tcPr>
          <w:p w14:paraId="44A94D62">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项</w:t>
            </w:r>
          </w:p>
        </w:tc>
        <w:tc>
          <w:tcPr>
            <w:tcW w:w="1153" w:type="dxa"/>
            <w:tcBorders>
              <w:tl2br w:val="nil"/>
              <w:tr2bl w:val="nil"/>
            </w:tcBorders>
            <w:shd w:val="clear" w:color="auto" w:fill="auto"/>
            <w:vAlign w:val="center"/>
          </w:tcPr>
          <w:p w14:paraId="2A3592E1">
            <w:pPr>
              <w:widowControl/>
              <w:jc w:val="left"/>
              <w:textAlignment w:val="center"/>
              <w:rPr>
                <w:rFonts w:hint="eastAsia" w:ascii="宋体" w:hAnsi="宋体" w:eastAsia="宋体" w:cs="宋体"/>
                <w:i w:val="0"/>
                <w:color w:val="000000"/>
                <w:sz w:val="22"/>
                <w:szCs w:val="22"/>
              </w:rPr>
            </w:pPr>
          </w:p>
        </w:tc>
        <w:tc>
          <w:tcPr>
            <w:tcW w:w="1091" w:type="dxa"/>
            <w:tcBorders>
              <w:tl2br w:val="nil"/>
              <w:tr2bl w:val="nil"/>
            </w:tcBorders>
            <w:shd w:val="clear" w:color="auto" w:fill="auto"/>
            <w:vAlign w:val="center"/>
          </w:tcPr>
          <w:p w14:paraId="750C6F0D">
            <w:pPr>
              <w:widowControl/>
              <w:jc w:val="left"/>
              <w:textAlignment w:val="center"/>
              <w:rPr>
                <w:rFonts w:hint="eastAsia" w:ascii="宋体" w:hAnsi="宋体" w:eastAsia="宋体" w:cs="宋体"/>
                <w:i w:val="0"/>
                <w:color w:val="000000"/>
                <w:sz w:val="22"/>
                <w:szCs w:val="22"/>
              </w:rPr>
            </w:pPr>
          </w:p>
        </w:tc>
        <w:tc>
          <w:tcPr>
            <w:tcW w:w="2650" w:type="dxa"/>
            <w:tcBorders>
              <w:tl2br w:val="nil"/>
              <w:tr2bl w:val="nil"/>
            </w:tcBorders>
            <w:shd w:val="clear" w:color="auto" w:fill="auto"/>
            <w:vAlign w:val="top"/>
          </w:tcPr>
          <w:p w14:paraId="6F170D8A">
            <w:pPr>
              <w:widowControl/>
              <w:jc w:val="left"/>
              <w:textAlignment w:val="top"/>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汽运到现场</w:t>
            </w:r>
          </w:p>
        </w:tc>
      </w:tr>
    </w:tbl>
    <w:p w14:paraId="41AABAED">
      <w:pPr>
        <w:widowControl/>
        <w:jc w:val="left"/>
        <w:rPr>
          <w:rFonts w:hint="eastAsia" w:ascii="微软雅黑" w:hAnsi="微软雅黑" w:eastAsia="微软雅黑" w:cs="微软雅黑"/>
          <w:b/>
          <w:bCs w:val="0"/>
          <w:sz w:val="24"/>
          <w:highlight w:val="none"/>
        </w:rPr>
      </w:pPr>
    </w:p>
    <w:p w14:paraId="1D531875">
      <w:pPr>
        <w:widowControl/>
        <w:jc w:val="center"/>
        <w:textAlignment w:val="center"/>
        <w:rPr>
          <w:rFonts w:hint="eastAsia" w:ascii="微软雅黑" w:hAnsi="微软雅黑" w:eastAsia="微软雅黑" w:cs="微软雅黑"/>
          <w:b/>
          <w:bCs/>
          <w:color w:val="000000"/>
          <w:sz w:val="18"/>
          <w:szCs w:val="18"/>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700359-C7A9-41ED-8975-ED57453A92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54EC299B-6405-4809-84A1-ABE326081D9C}"/>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3" w:fontKey="{63EAF851-CF2E-443A-8FF5-896F7CAD7597}"/>
  </w:font>
  <w:font w:name="华文中宋">
    <w:panose1 w:val="02010600040101010101"/>
    <w:charset w:val="86"/>
    <w:family w:val="auto"/>
    <w:pitch w:val="default"/>
    <w:sig w:usb0="00000287" w:usb1="080F0000" w:usb2="00000000" w:usb3="00000000" w:csb0="0004009F" w:csb1="DFD70000"/>
    <w:embedRegular r:id="rId4" w:fontKey="{163B8D72-040E-4C85-84DC-E4D48DC336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E815B">
    <w:pPr>
      <w:pStyle w:val="24"/>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64C3E11">
                <w:pPr>
                  <w:pStyle w:val="24"/>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D201">
    <w:pPr>
      <w:pStyle w:val="25"/>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46"/>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72"/>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62"/>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47"/>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I1NGQ4MDY4NjMxYWVlMzc3ODM2NDE0MmU1ODUxYzYifQ=="/>
  </w:docVars>
  <w:rsids>
    <w:rsidRoot w:val="00000000"/>
    <w:rsid w:val="0DA32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80"/>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81"/>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82"/>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83"/>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84"/>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85"/>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86"/>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87"/>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Body Text"/>
    <w:basedOn w:val="1"/>
    <w:link w:val="90"/>
    <w:qFormat/>
    <w:uiPriority w:val="0"/>
    <w:pPr>
      <w:spacing w:after="120"/>
    </w:p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ind w:firstLine="420"/>
    </w:pPr>
    <w:rPr>
      <w:szCs w:val="20"/>
    </w:rPr>
  </w:style>
  <w:style w:type="paragraph" w:styleId="14">
    <w:name w:val="Document Map"/>
    <w:basedOn w:val="1"/>
    <w:link w:val="96"/>
    <w:semiHidden/>
    <w:qFormat/>
    <w:uiPriority w:val="0"/>
    <w:pPr>
      <w:shd w:val="clear" w:color="auto" w:fill="000080"/>
    </w:pPr>
    <w:rPr>
      <w:rFonts w:ascii="Tahoma" w:hAnsi="Tahoma"/>
      <w:sz w:val="24"/>
    </w:rPr>
  </w:style>
  <w:style w:type="paragraph" w:styleId="15">
    <w:name w:val="annotation text"/>
    <w:basedOn w:val="1"/>
    <w:link w:val="88"/>
    <w:semiHidden/>
    <w:qFormat/>
    <w:uiPriority w:val="0"/>
    <w:pPr>
      <w:spacing w:line="300" w:lineRule="auto"/>
      <w:ind w:firstLine="200" w:firstLineChars="200"/>
      <w:jc w:val="left"/>
    </w:pPr>
    <w:rPr>
      <w:sz w:val="24"/>
    </w:rPr>
  </w:style>
  <w:style w:type="paragraph" w:styleId="16">
    <w:name w:val="Body Text Indent"/>
    <w:basedOn w:val="1"/>
    <w:link w:val="91"/>
    <w:qFormat/>
    <w:uiPriority w:val="0"/>
    <w:pPr>
      <w:ind w:firstLine="420"/>
    </w:pPr>
    <w:rPr>
      <w:rFonts w:ascii="Tahoma" w:hAnsi="Tahoma"/>
      <w:sz w:val="28"/>
    </w:rPr>
  </w:style>
  <w:style w:type="paragraph" w:styleId="17">
    <w:name w:val="toc 5"/>
    <w:basedOn w:val="1"/>
    <w:next w:val="1"/>
    <w:semiHidden/>
    <w:qFormat/>
    <w:uiPriority w:val="0"/>
    <w:pPr>
      <w:ind w:left="840"/>
      <w:jc w:val="left"/>
    </w:pPr>
    <w:rPr>
      <w:szCs w:val="21"/>
    </w:rPr>
  </w:style>
  <w:style w:type="paragraph" w:styleId="18">
    <w:name w:val="toc 3"/>
    <w:basedOn w:val="1"/>
    <w:next w:val="1"/>
    <w:semiHidden/>
    <w:qFormat/>
    <w:uiPriority w:val="0"/>
    <w:pPr>
      <w:ind w:left="420"/>
      <w:jc w:val="left"/>
    </w:pPr>
    <w:rPr>
      <w:rFonts w:ascii="Tahoma" w:hAnsi="Tahoma"/>
    </w:rPr>
  </w:style>
  <w:style w:type="paragraph" w:styleId="19">
    <w:name w:val="Plain Text"/>
    <w:basedOn w:val="1"/>
    <w:link w:val="97"/>
    <w:qFormat/>
    <w:uiPriority w:val="0"/>
    <w:pPr>
      <w:adjustRightInd w:val="0"/>
      <w:spacing w:line="360" w:lineRule="atLeast"/>
      <w:jc w:val="left"/>
    </w:pPr>
    <w:rPr>
      <w:rFonts w:ascii="宋体" w:hAnsi="Courier New"/>
      <w:kern w:val="0"/>
      <w:szCs w:val="21"/>
    </w:rPr>
  </w:style>
  <w:style w:type="paragraph" w:styleId="20">
    <w:name w:val="toc 8"/>
    <w:basedOn w:val="1"/>
    <w:next w:val="1"/>
    <w:semiHidden/>
    <w:qFormat/>
    <w:uiPriority w:val="0"/>
    <w:pPr>
      <w:ind w:left="1470"/>
      <w:jc w:val="left"/>
    </w:pPr>
    <w:rPr>
      <w:szCs w:val="21"/>
    </w:rPr>
  </w:style>
  <w:style w:type="paragraph" w:styleId="21">
    <w:name w:val="Date"/>
    <w:basedOn w:val="1"/>
    <w:next w:val="1"/>
    <w:link w:val="92"/>
    <w:qFormat/>
    <w:uiPriority w:val="0"/>
    <w:rPr>
      <w:rFonts w:ascii="Tahoma" w:hAnsi="Tahoma" w:eastAsia="黑体"/>
      <w:sz w:val="28"/>
    </w:rPr>
  </w:style>
  <w:style w:type="paragraph" w:styleId="22">
    <w:name w:val="Body Text Indent 2"/>
    <w:basedOn w:val="1"/>
    <w:link w:val="94"/>
    <w:qFormat/>
    <w:uiPriority w:val="0"/>
    <w:pPr>
      <w:adjustRightInd w:val="0"/>
      <w:spacing w:after="120" w:line="480" w:lineRule="auto"/>
      <w:ind w:left="200" w:leftChars="200"/>
      <w:jc w:val="left"/>
    </w:pPr>
    <w:rPr>
      <w:kern w:val="0"/>
      <w:sz w:val="24"/>
      <w:szCs w:val="20"/>
    </w:rPr>
  </w:style>
  <w:style w:type="paragraph" w:styleId="23">
    <w:name w:val="Balloon Text"/>
    <w:basedOn w:val="1"/>
    <w:link w:val="99"/>
    <w:semiHidden/>
    <w:qFormat/>
    <w:uiPriority w:val="0"/>
    <w:rPr>
      <w:sz w:val="18"/>
      <w:szCs w:val="18"/>
    </w:rPr>
  </w:style>
  <w:style w:type="paragraph" w:styleId="24">
    <w:name w:val="footer"/>
    <w:basedOn w:val="1"/>
    <w:link w:val="78"/>
    <w:unhideWhenUsed/>
    <w:qFormat/>
    <w:uiPriority w:val="0"/>
    <w:pPr>
      <w:tabs>
        <w:tab w:val="center" w:pos="4153"/>
        <w:tab w:val="right" w:pos="8306"/>
      </w:tabs>
      <w:snapToGrid w:val="0"/>
      <w:jc w:val="left"/>
    </w:pPr>
    <w:rPr>
      <w:sz w:val="18"/>
      <w:szCs w:val="18"/>
    </w:rPr>
  </w:style>
  <w:style w:type="paragraph" w:styleId="25">
    <w:name w:val="header"/>
    <w:basedOn w:val="1"/>
    <w:link w:val="7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spacing w:before="120" w:after="120"/>
      <w:jc w:val="left"/>
    </w:pPr>
    <w:rPr>
      <w:b/>
      <w:bCs/>
      <w:caps/>
    </w:rPr>
  </w:style>
  <w:style w:type="paragraph" w:styleId="27">
    <w:name w:val="toc 4"/>
    <w:basedOn w:val="1"/>
    <w:next w:val="1"/>
    <w:semiHidden/>
    <w:qFormat/>
    <w:uiPriority w:val="0"/>
    <w:pPr>
      <w:ind w:left="630"/>
      <w:jc w:val="left"/>
    </w:pPr>
    <w:rPr>
      <w:szCs w:val="21"/>
    </w:rPr>
  </w:style>
  <w:style w:type="paragraph" w:styleId="28">
    <w:name w:val="toc 6"/>
    <w:basedOn w:val="1"/>
    <w:next w:val="1"/>
    <w:semiHidden/>
    <w:qFormat/>
    <w:uiPriority w:val="0"/>
    <w:pPr>
      <w:ind w:left="1050"/>
      <w:jc w:val="left"/>
    </w:pPr>
    <w:rPr>
      <w:szCs w:val="21"/>
    </w:rPr>
  </w:style>
  <w:style w:type="paragraph" w:styleId="29">
    <w:name w:val="Body Text Indent 3"/>
    <w:basedOn w:val="1"/>
    <w:link w:val="95"/>
    <w:qFormat/>
    <w:uiPriority w:val="0"/>
    <w:pPr>
      <w:spacing w:before="120" w:line="360" w:lineRule="atLeast"/>
      <w:ind w:firstLine="540"/>
    </w:pPr>
    <w:rPr>
      <w:rFonts w:ascii="Courier New" w:hAnsi="Courier New"/>
      <w:szCs w:val="20"/>
    </w:rPr>
  </w:style>
  <w:style w:type="paragraph" w:styleId="30">
    <w:name w:val="toc 2"/>
    <w:basedOn w:val="1"/>
    <w:next w:val="1"/>
    <w:semiHidden/>
    <w:qFormat/>
    <w:uiPriority w:val="0"/>
    <w:pPr>
      <w:ind w:left="210"/>
      <w:jc w:val="left"/>
    </w:pPr>
    <w:rPr>
      <w:smallCaps/>
    </w:rPr>
  </w:style>
  <w:style w:type="paragraph" w:styleId="31">
    <w:name w:val="toc 9"/>
    <w:basedOn w:val="1"/>
    <w:next w:val="1"/>
    <w:semiHidden/>
    <w:qFormat/>
    <w:uiPriority w:val="0"/>
    <w:pPr>
      <w:ind w:left="1680"/>
      <w:jc w:val="left"/>
    </w:pPr>
    <w:rPr>
      <w:szCs w:val="21"/>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3">
    <w:name w:val="index 1"/>
    <w:basedOn w:val="1"/>
    <w:next w:val="1"/>
    <w:semiHidden/>
    <w:qFormat/>
    <w:uiPriority w:val="0"/>
    <w:rPr>
      <w:rFonts w:ascii="Tahoma" w:hAnsi="Tahoma"/>
      <w:sz w:val="24"/>
    </w:rPr>
  </w:style>
  <w:style w:type="paragraph" w:styleId="34">
    <w:name w:val="Title"/>
    <w:basedOn w:val="1"/>
    <w:next w:val="1"/>
    <w:link w:val="89"/>
    <w:qFormat/>
    <w:uiPriority w:val="0"/>
    <w:pPr>
      <w:pageBreakBefore/>
      <w:widowControl/>
      <w:spacing w:before="2280" w:after="7200"/>
      <w:jc w:val="center"/>
      <w:outlineLvl w:val="0"/>
    </w:pPr>
    <w:rPr>
      <w:rFonts w:ascii="Tahoma" w:hAnsi="Tahoma" w:eastAsia="黑体" w:cs="Arial"/>
      <w:bCs/>
      <w:sz w:val="52"/>
      <w:szCs w:val="52"/>
    </w:rPr>
  </w:style>
  <w:style w:type="paragraph" w:styleId="35">
    <w:name w:val="annotation subject"/>
    <w:basedOn w:val="15"/>
    <w:next w:val="15"/>
    <w:link w:val="98"/>
    <w:semiHidden/>
    <w:qFormat/>
    <w:uiPriority w:val="0"/>
    <w:pPr>
      <w:spacing w:line="240" w:lineRule="auto"/>
      <w:ind w:firstLine="0" w:firstLineChars="0"/>
    </w:pPr>
    <w:rPr>
      <w:b/>
      <w:bCs/>
      <w:sz w:val="21"/>
    </w:rPr>
  </w:style>
  <w:style w:type="paragraph" w:styleId="36">
    <w:name w:val="Body Text First Indent"/>
    <w:basedOn w:val="7"/>
    <w:link w:val="93"/>
    <w:qFormat/>
    <w:uiPriority w:val="0"/>
    <w:pPr>
      <w:ind w:firstLine="420" w:firstLineChars="100"/>
    </w:pPr>
    <w:rPr>
      <w:rFonts w:eastAsia="方正仿宋_GB2312"/>
      <w:szCs w:val="20"/>
    </w:rPr>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paragraph" w:customStyle="1" w:styleId="41">
    <w:name w:val="D标题5"/>
    <w:basedOn w:val="6"/>
    <w:next w:val="42"/>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2">
    <w:name w:val="D正文"/>
    <w:basedOn w:val="43"/>
    <w:qFormat/>
    <w:uiPriority w:val="0"/>
    <w:pPr>
      <w:widowControl/>
      <w:spacing w:before="100" w:beforeAutospacing="1" w:after="100" w:afterAutospacing="1"/>
      <w:ind w:left="0" w:leftChars="0"/>
      <w:jc w:val="left"/>
    </w:pPr>
  </w:style>
  <w:style w:type="paragraph" w:customStyle="1" w:styleId="43">
    <w:name w:val="Body Text First Indent 21"/>
    <w:basedOn w:val="44"/>
    <w:qFormat/>
    <w:uiPriority w:val="0"/>
    <w:pPr>
      <w:spacing w:after="120"/>
      <w:ind w:left="420" w:leftChars="200" w:firstLine="420" w:firstLineChars="200"/>
    </w:pPr>
    <w:rPr>
      <w:rFonts w:ascii="Arial" w:hAnsi="Arial"/>
      <w:sz w:val="24"/>
    </w:rPr>
  </w:style>
  <w:style w:type="paragraph" w:customStyle="1" w:styleId="44">
    <w:name w:val="Body Text Indent1"/>
    <w:basedOn w:val="1"/>
    <w:qFormat/>
    <w:uiPriority w:val="0"/>
    <w:pPr>
      <w:spacing w:line="360" w:lineRule="auto"/>
      <w:ind w:firstLine="720" w:firstLineChars="240"/>
    </w:pPr>
    <w:rPr>
      <w:sz w:val="30"/>
      <w:szCs w:val="24"/>
      <w:lang w:val="zh-CN"/>
    </w:rPr>
  </w:style>
  <w:style w:type="paragraph" w:customStyle="1" w:styleId="45">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46">
    <w:name w:val="样式1"/>
    <w:basedOn w:val="1"/>
    <w:qFormat/>
    <w:uiPriority w:val="0"/>
    <w:pPr>
      <w:numPr>
        <w:ilvl w:val="0"/>
        <w:numId w:val="2"/>
      </w:numPr>
      <w:adjustRightInd w:val="0"/>
    </w:pPr>
    <w:rPr>
      <w:rFonts w:ascii="宋体" w:hAnsi="宋体"/>
      <w:kern w:val="0"/>
      <w:szCs w:val="21"/>
    </w:rPr>
  </w:style>
  <w:style w:type="paragraph" w:customStyle="1" w:styleId="47">
    <w:name w:val="样式2"/>
    <w:basedOn w:val="1"/>
    <w:qFormat/>
    <w:uiPriority w:val="0"/>
    <w:pPr>
      <w:numPr>
        <w:ilvl w:val="1"/>
        <w:numId w:val="3"/>
      </w:numPr>
      <w:tabs>
        <w:tab w:val="left" w:pos="425"/>
      </w:tabs>
      <w:adjustRightInd w:val="0"/>
    </w:pPr>
    <w:rPr>
      <w:rFonts w:ascii="宋体" w:hAnsi="宋体"/>
      <w:kern w:val="0"/>
      <w:szCs w:val="21"/>
    </w:rPr>
  </w:style>
  <w:style w:type="paragraph" w:customStyle="1" w:styleId="48">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49">
    <w:name w:val="表正文"/>
    <w:basedOn w:val="1"/>
    <w:qFormat/>
    <w:uiPriority w:val="0"/>
    <w:pPr>
      <w:adjustRightInd w:val="0"/>
      <w:spacing w:after="120" w:line="360" w:lineRule="atLeast"/>
      <w:jc w:val="left"/>
    </w:pPr>
    <w:rPr>
      <w:kern w:val="0"/>
      <w:sz w:val="16"/>
      <w:szCs w:val="16"/>
    </w:rPr>
  </w:style>
  <w:style w:type="paragraph" w:customStyle="1" w:styleId="50">
    <w:name w:val="样式 标题 2 + 宋体 五号 非加粗 黑色"/>
    <w:basedOn w:val="3"/>
    <w:qFormat/>
    <w:uiPriority w:val="0"/>
    <w:rPr>
      <w:rFonts w:ascii="宋体" w:hAnsi="宋体" w:eastAsia="宋体"/>
      <w:b w:val="0"/>
      <w:bCs w:val="0"/>
      <w:color w:val="000000"/>
      <w:sz w:val="21"/>
    </w:rPr>
  </w:style>
  <w:style w:type="paragraph" w:customStyle="1" w:styleId="51">
    <w:name w:val="样式 宋体 五号 两端对齐 行距: 单倍行距"/>
    <w:basedOn w:val="1"/>
    <w:qFormat/>
    <w:uiPriority w:val="0"/>
    <w:pPr>
      <w:adjustRightInd w:val="0"/>
    </w:pPr>
    <w:rPr>
      <w:rFonts w:ascii="宋体" w:hAnsi="宋体"/>
      <w:kern w:val="0"/>
      <w:szCs w:val="20"/>
    </w:rPr>
  </w:style>
  <w:style w:type="paragraph" w:customStyle="1" w:styleId="52">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53">
    <w:name w:val="样式 宋体 五号 行距: 单倍行距"/>
    <w:basedOn w:val="1"/>
    <w:qFormat/>
    <w:uiPriority w:val="0"/>
    <w:pPr>
      <w:adjustRightInd w:val="0"/>
      <w:jc w:val="left"/>
    </w:pPr>
    <w:rPr>
      <w:rFonts w:ascii="宋体" w:hAnsi="宋体"/>
      <w:kern w:val="0"/>
      <w:szCs w:val="20"/>
    </w:rPr>
  </w:style>
  <w:style w:type="paragraph" w:customStyle="1" w:styleId="54">
    <w:name w:val="小标题"/>
    <w:basedOn w:val="7"/>
    <w:qFormat/>
    <w:uiPriority w:val="0"/>
    <w:pPr>
      <w:spacing w:after="0"/>
      <w:ind w:left="100" w:leftChars="100"/>
    </w:pPr>
    <w:rPr>
      <w:rFonts w:ascii="Tahoma" w:hAnsi="Tahoma" w:eastAsia="方正仿宋_GB2312" w:cs="Century"/>
      <w:b/>
      <w:bCs/>
      <w:sz w:val="24"/>
    </w:rPr>
  </w:style>
  <w:style w:type="paragraph" w:customStyle="1" w:styleId="55">
    <w:name w:val="标题单位"/>
    <w:basedOn w:val="1"/>
    <w:next w:val="1"/>
    <w:qFormat/>
    <w:uiPriority w:val="0"/>
    <w:pPr>
      <w:spacing w:line="360" w:lineRule="auto"/>
      <w:jc w:val="center"/>
    </w:pPr>
    <w:rPr>
      <w:rFonts w:ascii="Tahoma" w:hAnsi="Tahoma" w:eastAsia="黑体"/>
      <w:sz w:val="32"/>
      <w:szCs w:val="32"/>
    </w:rPr>
  </w:style>
  <w:style w:type="paragraph" w:customStyle="1" w:styleId="56">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57">
    <w:name w:val="文本正文"/>
    <w:basedOn w:val="1"/>
    <w:qFormat/>
    <w:uiPriority w:val="0"/>
    <w:pPr>
      <w:spacing w:line="360" w:lineRule="auto"/>
      <w:ind w:firstLine="200" w:firstLineChars="200"/>
    </w:pPr>
    <w:rPr>
      <w:rFonts w:ascii="Tahoma" w:hAnsi="Tahoma" w:cs="Arial"/>
      <w:sz w:val="24"/>
      <w:szCs w:val="20"/>
    </w:rPr>
  </w:style>
  <w:style w:type="paragraph" w:customStyle="1" w:styleId="58">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59">
    <w:name w:val="项目符号"/>
    <w:basedOn w:val="57"/>
    <w:qFormat/>
    <w:uiPriority w:val="0"/>
    <w:pPr>
      <w:ind w:firstLine="0" w:firstLineChars="0"/>
    </w:pPr>
  </w:style>
  <w:style w:type="paragraph" w:customStyle="1" w:styleId="60">
    <w:name w:val="正文内容"/>
    <w:basedOn w:val="1"/>
    <w:qFormat/>
    <w:uiPriority w:val="0"/>
    <w:pPr>
      <w:spacing w:line="360" w:lineRule="auto"/>
      <w:ind w:firstLine="480" w:firstLineChars="200"/>
    </w:pPr>
    <w:rPr>
      <w:rFonts w:ascii="Arial" w:hAnsi="Arial"/>
      <w:sz w:val="24"/>
    </w:rPr>
  </w:style>
  <w:style w:type="paragraph" w:customStyle="1" w:styleId="61">
    <w:name w:val="正文行"/>
    <w:basedOn w:val="1"/>
    <w:qFormat/>
    <w:uiPriority w:val="0"/>
    <w:pPr>
      <w:spacing w:line="360" w:lineRule="auto"/>
    </w:pPr>
    <w:rPr>
      <w:rFonts w:ascii="Tahoma" w:hAnsi="Tahoma"/>
      <w:sz w:val="24"/>
    </w:rPr>
  </w:style>
  <w:style w:type="paragraph" w:customStyle="1" w:styleId="62">
    <w:name w:val="小标题下列表"/>
    <w:basedOn w:val="7"/>
    <w:qFormat/>
    <w:uiPriority w:val="0"/>
    <w:pPr>
      <w:numPr>
        <w:ilvl w:val="1"/>
        <w:numId w:val="4"/>
      </w:numPr>
      <w:tabs>
        <w:tab w:val="left" w:pos="360"/>
      </w:tabs>
      <w:spacing w:after="0"/>
    </w:pPr>
    <w:rPr>
      <w:rFonts w:ascii="Tahoma" w:hAnsi="Tahoma" w:eastAsia="方正仿宋_GB2312"/>
      <w:sz w:val="24"/>
    </w:rPr>
  </w:style>
  <w:style w:type="paragraph" w:customStyle="1" w:styleId="63">
    <w:name w:val="Char"/>
    <w:basedOn w:val="1"/>
    <w:qFormat/>
    <w:uiPriority w:val="0"/>
    <w:rPr>
      <w:rFonts w:ascii="Tahoma" w:hAnsi="Tahoma"/>
      <w:sz w:val="24"/>
      <w:szCs w:val="20"/>
    </w:rPr>
  </w:style>
  <w:style w:type="paragraph" w:customStyle="1" w:styleId="64">
    <w:name w:val="表格"/>
    <w:basedOn w:val="1"/>
    <w:qFormat/>
    <w:uiPriority w:val="0"/>
    <w:pPr>
      <w:spacing w:line="320" w:lineRule="exact"/>
      <w:jc w:val="center"/>
    </w:pPr>
    <w:rPr>
      <w:bCs/>
      <w:szCs w:val="21"/>
    </w:rPr>
  </w:style>
  <w:style w:type="paragraph" w:customStyle="1" w:styleId="65">
    <w:name w:val="Char Char Char"/>
    <w:basedOn w:val="1"/>
    <w:qFormat/>
    <w:uiPriority w:val="0"/>
    <w:rPr>
      <w:rFonts w:ascii="Tahoma" w:hAnsi="Tahoma"/>
      <w:sz w:val="24"/>
      <w:szCs w:val="20"/>
    </w:rPr>
  </w:style>
  <w:style w:type="paragraph" w:customStyle="1" w:styleId="66">
    <w:name w:val="样式 标题 4 + 段前: 5 磅 段后: 5 磅 行距: 单倍行距"/>
    <w:basedOn w:val="5"/>
    <w:qFormat/>
    <w:uiPriority w:val="0"/>
    <w:pPr>
      <w:numPr>
        <w:ilvl w:val="3"/>
        <w:numId w:val="0"/>
      </w:numPr>
      <w:tabs>
        <w:tab w:val="left" w:pos="1680"/>
        <w:tab w:val="left" w:pos="2880"/>
      </w:tabs>
      <w:spacing w:before="100" w:after="100" w:line="240" w:lineRule="auto"/>
      <w:ind w:left="1680" w:hanging="420"/>
    </w:pPr>
    <w:rPr>
      <w:rFonts w:cs="宋体"/>
      <w:szCs w:val="20"/>
    </w:rPr>
  </w:style>
  <w:style w:type="paragraph" w:customStyle="1" w:styleId="67">
    <w:name w:val="样式 样式 标题 2 + 宋体 五号 非加粗 黑色 + 段前: 6 磅 段后: 0 磅 行距: 单倍行距"/>
    <w:basedOn w:val="50"/>
    <w:qFormat/>
    <w:uiPriority w:val="0"/>
    <w:pPr>
      <w:spacing w:before="120" w:after="0" w:line="240" w:lineRule="auto"/>
    </w:pPr>
    <w:rPr>
      <w:szCs w:val="20"/>
    </w:rPr>
  </w:style>
  <w:style w:type="paragraph" w:customStyle="1" w:styleId="68">
    <w:name w:val="样式 样式 样式 标题 2 + 宋体 五号 非加粗 黑色 + 段前: 6 磅 段后: 0 磅 行距: 单倍行距 + 段前: 12..."/>
    <w:basedOn w:val="67"/>
    <w:qFormat/>
    <w:uiPriority w:val="0"/>
    <w:pPr>
      <w:spacing w:before="240"/>
    </w:pPr>
  </w:style>
  <w:style w:type="paragraph" w:customStyle="1" w:styleId="69">
    <w:name w:val="样式 样式 样式 样式 标题 2 + 宋体 五号 非加粗 黑色 + 段前: 6 磅 段后: 0 磅 行距: 单倍行距 + 段前:..."/>
    <w:basedOn w:val="68"/>
    <w:qFormat/>
    <w:uiPriority w:val="0"/>
    <w:rPr>
      <w:b/>
      <w:bCs/>
    </w:rPr>
  </w:style>
  <w:style w:type="paragraph" w:customStyle="1" w:styleId="70">
    <w:name w:val="Char Char Char1 Char"/>
    <w:basedOn w:val="1"/>
    <w:qFormat/>
    <w:uiPriority w:val="0"/>
    <w:rPr>
      <w:rFonts w:ascii="Tahoma" w:hAnsi="Tahoma"/>
      <w:sz w:val="24"/>
      <w:szCs w:val="20"/>
    </w:rPr>
  </w:style>
  <w:style w:type="paragraph" w:customStyle="1" w:styleId="71">
    <w:name w:val="表格文字（大）"/>
    <w:basedOn w:val="1"/>
    <w:qFormat/>
    <w:uiPriority w:val="0"/>
    <w:pPr>
      <w:spacing w:before="20" w:after="20"/>
    </w:pPr>
    <w:rPr>
      <w:rFonts w:ascii="Century Gothic" w:hAnsi="Century Gothic"/>
      <w:sz w:val="24"/>
      <w:szCs w:val="20"/>
    </w:rPr>
  </w:style>
  <w:style w:type="paragraph" w:customStyle="1" w:styleId="72">
    <w:name w:val="List-Intended"/>
    <w:basedOn w:val="1"/>
    <w:qFormat/>
    <w:uiPriority w:val="0"/>
    <w:pPr>
      <w:widowControl/>
      <w:numPr>
        <w:ilvl w:val="1"/>
        <w:numId w:val="5"/>
      </w:numPr>
      <w:tabs>
        <w:tab w:val="left" w:pos="1324"/>
      </w:tabs>
      <w:overflowPunct w:val="0"/>
      <w:autoSpaceDE w:val="0"/>
      <w:autoSpaceDN w:val="0"/>
      <w:adjustRightInd w:val="0"/>
      <w:jc w:val="left"/>
      <w:textAlignment w:val="baseline"/>
    </w:pPr>
    <w:rPr>
      <w:rFonts w:ascii="Book Antiqua" w:hAnsi="Book Antiqua"/>
      <w:kern w:val="0"/>
      <w:sz w:val="20"/>
      <w:szCs w:val="20"/>
    </w:rPr>
  </w:style>
  <w:style w:type="paragraph" w:customStyle="1" w:styleId="73">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paragraph" w:customStyle="1" w:styleId="74">
    <w:name w:val="正文1"/>
    <w:basedOn w:val="1"/>
    <w:qFormat/>
    <w:uiPriority w:val="0"/>
    <w:pPr>
      <w:widowControl/>
    </w:pPr>
    <w:rPr>
      <w:kern w:val="0"/>
      <w:sz w:val="20"/>
      <w:szCs w:val="20"/>
    </w:rPr>
  </w:style>
  <w:style w:type="paragraph" w:customStyle="1" w:styleId="75">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76">
    <w:name w:val="样式3"/>
    <w:basedOn w:val="1"/>
    <w:qFormat/>
    <w:uiPriority w:val="0"/>
    <w:rPr>
      <w:rFonts w:hint="eastAsia" w:ascii="微软雅黑" w:hAnsi="微软雅黑" w:eastAsia="微软雅黑" w:cs="微软雅黑"/>
      <w:b/>
      <w:spacing w:val="-2"/>
      <w:kern w:val="0"/>
      <w:sz w:val="24"/>
    </w:rPr>
  </w:style>
  <w:style w:type="character" w:customStyle="1" w:styleId="77">
    <w:name w:val="页眉 Char"/>
    <w:basedOn w:val="38"/>
    <w:link w:val="25"/>
    <w:qFormat/>
    <w:uiPriority w:val="99"/>
    <w:rPr>
      <w:sz w:val="18"/>
      <w:szCs w:val="18"/>
    </w:rPr>
  </w:style>
  <w:style w:type="character" w:customStyle="1" w:styleId="78">
    <w:name w:val="页脚 Char"/>
    <w:basedOn w:val="38"/>
    <w:link w:val="24"/>
    <w:qFormat/>
    <w:uiPriority w:val="99"/>
    <w:rPr>
      <w:sz w:val="18"/>
      <w:szCs w:val="18"/>
    </w:rPr>
  </w:style>
  <w:style w:type="character" w:customStyle="1" w:styleId="79">
    <w:name w:val="标题 1 Char"/>
    <w:basedOn w:val="38"/>
    <w:link w:val="2"/>
    <w:qFormat/>
    <w:uiPriority w:val="0"/>
    <w:rPr>
      <w:rFonts w:ascii="Times New Roman" w:hAnsi="Times New Roman" w:eastAsia="宋体" w:cs="Times New Roman"/>
      <w:b/>
      <w:bCs/>
      <w:kern w:val="44"/>
      <w:sz w:val="44"/>
      <w:szCs w:val="44"/>
    </w:rPr>
  </w:style>
  <w:style w:type="character" w:customStyle="1" w:styleId="80">
    <w:name w:val="标题 2 Char"/>
    <w:basedOn w:val="38"/>
    <w:link w:val="3"/>
    <w:qFormat/>
    <w:uiPriority w:val="0"/>
    <w:rPr>
      <w:rFonts w:ascii="Arial" w:hAnsi="Arial" w:eastAsia="黑体" w:cs="Times New Roman"/>
      <w:b/>
      <w:bCs/>
      <w:kern w:val="0"/>
      <w:sz w:val="32"/>
      <w:szCs w:val="32"/>
    </w:rPr>
  </w:style>
  <w:style w:type="character" w:customStyle="1" w:styleId="81">
    <w:name w:val="标题 3 Char"/>
    <w:basedOn w:val="38"/>
    <w:link w:val="4"/>
    <w:qFormat/>
    <w:uiPriority w:val="0"/>
    <w:rPr>
      <w:rFonts w:ascii="Times New Roman" w:hAnsi="Times New Roman" w:eastAsia="宋体" w:cs="Times New Roman"/>
      <w:b/>
      <w:bCs/>
      <w:kern w:val="0"/>
      <w:sz w:val="32"/>
      <w:szCs w:val="32"/>
    </w:rPr>
  </w:style>
  <w:style w:type="character" w:customStyle="1" w:styleId="82">
    <w:name w:val="标题 4 Char"/>
    <w:basedOn w:val="38"/>
    <w:link w:val="5"/>
    <w:qFormat/>
    <w:uiPriority w:val="0"/>
    <w:rPr>
      <w:rFonts w:ascii="Arial" w:hAnsi="Arial" w:eastAsia="黑体" w:cs="Times New Roman"/>
      <w:b/>
      <w:bCs/>
      <w:kern w:val="0"/>
      <w:sz w:val="28"/>
      <w:szCs w:val="28"/>
    </w:rPr>
  </w:style>
  <w:style w:type="character" w:customStyle="1" w:styleId="83">
    <w:name w:val="标题 5 Char"/>
    <w:basedOn w:val="38"/>
    <w:link w:val="6"/>
    <w:qFormat/>
    <w:uiPriority w:val="0"/>
    <w:rPr>
      <w:rFonts w:ascii="Times New Roman" w:hAnsi="Times New Roman" w:eastAsia="宋体" w:cs="Times New Roman"/>
      <w:b/>
      <w:bCs/>
      <w:kern w:val="0"/>
      <w:sz w:val="28"/>
      <w:szCs w:val="28"/>
    </w:rPr>
  </w:style>
  <w:style w:type="character" w:customStyle="1" w:styleId="84">
    <w:name w:val="标题 6 Char"/>
    <w:basedOn w:val="38"/>
    <w:link w:val="8"/>
    <w:qFormat/>
    <w:uiPriority w:val="0"/>
    <w:rPr>
      <w:rFonts w:ascii="Arial" w:hAnsi="Arial" w:eastAsia="黑体" w:cs="Times New Roman"/>
      <w:b/>
      <w:bCs/>
      <w:kern w:val="0"/>
      <w:sz w:val="24"/>
      <w:szCs w:val="24"/>
    </w:rPr>
  </w:style>
  <w:style w:type="character" w:customStyle="1" w:styleId="85">
    <w:name w:val="标题 7 Char"/>
    <w:basedOn w:val="38"/>
    <w:link w:val="9"/>
    <w:qFormat/>
    <w:uiPriority w:val="0"/>
    <w:rPr>
      <w:rFonts w:ascii="Times New Roman" w:hAnsi="Times New Roman" w:eastAsia="宋体" w:cs="Times New Roman"/>
      <w:b/>
      <w:bCs/>
      <w:kern w:val="0"/>
      <w:sz w:val="24"/>
      <w:szCs w:val="24"/>
    </w:rPr>
  </w:style>
  <w:style w:type="character" w:customStyle="1" w:styleId="86">
    <w:name w:val="标题 8 Char"/>
    <w:basedOn w:val="38"/>
    <w:link w:val="10"/>
    <w:qFormat/>
    <w:uiPriority w:val="0"/>
    <w:rPr>
      <w:rFonts w:ascii="Arial" w:hAnsi="Arial" w:eastAsia="黑体" w:cs="Times New Roman"/>
      <w:kern w:val="0"/>
      <w:sz w:val="24"/>
      <w:szCs w:val="24"/>
    </w:rPr>
  </w:style>
  <w:style w:type="character" w:customStyle="1" w:styleId="87">
    <w:name w:val="标题 9 Char"/>
    <w:basedOn w:val="38"/>
    <w:link w:val="11"/>
    <w:qFormat/>
    <w:uiPriority w:val="0"/>
    <w:rPr>
      <w:rFonts w:ascii="Arial" w:hAnsi="Arial" w:eastAsia="黑体" w:cs="Times New Roman"/>
      <w:kern w:val="0"/>
      <w:szCs w:val="21"/>
    </w:rPr>
  </w:style>
  <w:style w:type="character" w:customStyle="1" w:styleId="88">
    <w:name w:val="批注文字 Char"/>
    <w:basedOn w:val="38"/>
    <w:link w:val="15"/>
    <w:semiHidden/>
    <w:qFormat/>
    <w:uiPriority w:val="0"/>
    <w:rPr>
      <w:rFonts w:ascii="Times New Roman" w:hAnsi="Times New Roman" w:eastAsia="宋体" w:cs="Times New Roman"/>
      <w:sz w:val="24"/>
      <w:szCs w:val="24"/>
    </w:rPr>
  </w:style>
  <w:style w:type="character" w:customStyle="1" w:styleId="89">
    <w:name w:val="标题 Char"/>
    <w:basedOn w:val="38"/>
    <w:link w:val="34"/>
    <w:qFormat/>
    <w:uiPriority w:val="0"/>
    <w:rPr>
      <w:rFonts w:ascii="Tahoma" w:hAnsi="Tahoma" w:eastAsia="黑体" w:cs="Arial"/>
      <w:bCs/>
      <w:sz w:val="52"/>
      <w:szCs w:val="52"/>
    </w:rPr>
  </w:style>
  <w:style w:type="character" w:customStyle="1" w:styleId="90">
    <w:name w:val="正文文本 Char"/>
    <w:basedOn w:val="38"/>
    <w:link w:val="7"/>
    <w:qFormat/>
    <w:uiPriority w:val="0"/>
    <w:rPr>
      <w:rFonts w:ascii="Times New Roman" w:hAnsi="Times New Roman" w:eastAsia="宋体" w:cs="Times New Roman"/>
      <w:szCs w:val="24"/>
    </w:rPr>
  </w:style>
  <w:style w:type="character" w:customStyle="1" w:styleId="91">
    <w:name w:val="正文文本缩进 Char"/>
    <w:basedOn w:val="38"/>
    <w:link w:val="16"/>
    <w:qFormat/>
    <w:uiPriority w:val="0"/>
    <w:rPr>
      <w:rFonts w:ascii="Tahoma" w:hAnsi="Tahoma" w:eastAsia="宋体" w:cs="Times New Roman"/>
      <w:sz w:val="28"/>
      <w:szCs w:val="24"/>
    </w:rPr>
  </w:style>
  <w:style w:type="character" w:customStyle="1" w:styleId="92">
    <w:name w:val="日期 Char"/>
    <w:basedOn w:val="38"/>
    <w:link w:val="21"/>
    <w:qFormat/>
    <w:uiPriority w:val="0"/>
    <w:rPr>
      <w:rFonts w:ascii="Tahoma" w:hAnsi="Tahoma" w:eastAsia="黑体" w:cs="Times New Roman"/>
      <w:sz w:val="28"/>
      <w:szCs w:val="24"/>
    </w:rPr>
  </w:style>
  <w:style w:type="character" w:customStyle="1" w:styleId="93">
    <w:name w:val="正文首行缩进 Char"/>
    <w:basedOn w:val="90"/>
    <w:link w:val="36"/>
    <w:qFormat/>
    <w:uiPriority w:val="0"/>
    <w:rPr>
      <w:rFonts w:ascii="Times New Roman" w:hAnsi="Times New Roman" w:eastAsia="方正仿宋_GB2312" w:cs="Times New Roman"/>
      <w:szCs w:val="20"/>
    </w:rPr>
  </w:style>
  <w:style w:type="character" w:customStyle="1" w:styleId="94">
    <w:name w:val="正文文本缩进 2 Char"/>
    <w:basedOn w:val="38"/>
    <w:link w:val="22"/>
    <w:qFormat/>
    <w:uiPriority w:val="0"/>
    <w:rPr>
      <w:rFonts w:ascii="Times New Roman" w:hAnsi="Times New Roman" w:eastAsia="宋体" w:cs="Times New Roman"/>
      <w:kern w:val="0"/>
      <w:sz w:val="24"/>
      <w:szCs w:val="20"/>
    </w:rPr>
  </w:style>
  <w:style w:type="character" w:customStyle="1" w:styleId="95">
    <w:name w:val="正文文本缩进 3 Char"/>
    <w:basedOn w:val="38"/>
    <w:link w:val="29"/>
    <w:qFormat/>
    <w:uiPriority w:val="0"/>
    <w:rPr>
      <w:rFonts w:ascii="Courier New" w:hAnsi="Courier New" w:eastAsia="宋体" w:cs="Times New Roman"/>
      <w:szCs w:val="20"/>
    </w:rPr>
  </w:style>
  <w:style w:type="character" w:customStyle="1" w:styleId="96">
    <w:name w:val="文档结构图 Char"/>
    <w:basedOn w:val="38"/>
    <w:link w:val="14"/>
    <w:semiHidden/>
    <w:qFormat/>
    <w:uiPriority w:val="0"/>
    <w:rPr>
      <w:rFonts w:ascii="Tahoma" w:hAnsi="Tahoma" w:eastAsia="宋体" w:cs="Times New Roman"/>
      <w:sz w:val="24"/>
      <w:szCs w:val="24"/>
      <w:shd w:val="clear" w:color="auto" w:fill="000080"/>
    </w:rPr>
  </w:style>
  <w:style w:type="character" w:customStyle="1" w:styleId="97">
    <w:name w:val="纯文本 Char"/>
    <w:basedOn w:val="38"/>
    <w:link w:val="19"/>
    <w:qFormat/>
    <w:uiPriority w:val="0"/>
    <w:rPr>
      <w:rFonts w:ascii="宋体" w:hAnsi="Courier New" w:eastAsia="宋体" w:cs="Times New Roman"/>
      <w:kern w:val="0"/>
      <w:szCs w:val="21"/>
    </w:rPr>
  </w:style>
  <w:style w:type="character" w:customStyle="1" w:styleId="98">
    <w:name w:val="批注主题 Char"/>
    <w:basedOn w:val="88"/>
    <w:link w:val="35"/>
    <w:semiHidden/>
    <w:qFormat/>
    <w:uiPriority w:val="0"/>
    <w:rPr>
      <w:rFonts w:ascii="Times New Roman" w:hAnsi="Times New Roman" w:eastAsia="宋体" w:cs="Times New Roman"/>
      <w:b/>
      <w:bCs/>
      <w:sz w:val="24"/>
      <w:szCs w:val="24"/>
    </w:rPr>
  </w:style>
  <w:style w:type="character" w:customStyle="1" w:styleId="99">
    <w:name w:val="批注框文本 Char"/>
    <w:basedOn w:val="38"/>
    <w:link w:val="23"/>
    <w:semiHidden/>
    <w:qFormat/>
    <w:uiPriority w:val="0"/>
    <w:rPr>
      <w:rFonts w:ascii="Times New Roman" w:hAnsi="Times New Roman" w:eastAsia="宋体" w:cs="Times New Roman"/>
      <w:sz w:val="18"/>
      <w:szCs w:val="18"/>
    </w:rPr>
  </w:style>
  <w:style w:type="character" w:customStyle="1" w:styleId="100">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01">
    <w:name w:val="Char Char"/>
    <w:qFormat/>
    <w:uiPriority w:val="0"/>
    <w:rPr>
      <w:rFonts w:hint="eastAsia" w:ascii="宋体" w:hAnsi="宋体" w:eastAsia="宋体"/>
      <w:kern w:val="2"/>
      <w:sz w:val="21"/>
      <w:szCs w:val="24"/>
      <w:lang w:val="en-US" w:eastAsia="zh-CN" w:bidi="ar-SA"/>
    </w:rPr>
  </w:style>
  <w:style w:type="character" w:customStyle="1" w:styleId="102">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103">
    <w:name w:val="text"/>
    <w:basedOn w:val="38"/>
    <w:qFormat/>
    <w:uiPriority w:val="0"/>
  </w:style>
  <w:style w:type="character" w:customStyle="1" w:styleId="104">
    <w:name w:val="para1"/>
    <w:qFormat/>
    <w:uiPriority w:val="0"/>
    <w:rPr>
      <w:rFonts w:hint="default" w:ascii="Arial" w:hAnsi="Arial" w:cs="Arial"/>
      <w:sz w:val="18"/>
      <w:szCs w:val="18"/>
    </w:rPr>
  </w:style>
  <w:style w:type="character" w:customStyle="1" w:styleId="105">
    <w:name w:val="normal__char1"/>
    <w:qFormat/>
    <w:uiPriority w:val="0"/>
    <w:rPr>
      <w:rFonts w:hint="default" w:ascii="Times New Roman" w:hAnsi="Times New Roman" w:eastAsia="宋体" w:cs="Times New Roman"/>
      <w:kern w:val="44"/>
      <w:sz w:val="20"/>
      <w:szCs w:val="20"/>
      <w:lang w:val="en-US" w:eastAsia="zh-CN" w:bidi="ar-SA"/>
    </w:rPr>
  </w:style>
  <w:style w:type="character" w:customStyle="1" w:styleId="106">
    <w:name w:val="font31"/>
    <w:basedOn w:val="38"/>
    <w:qFormat/>
    <w:uiPriority w:val="0"/>
    <w:rPr>
      <w:rFonts w:hint="eastAsia" w:ascii="宋体" w:hAnsi="宋体" w:eastAsia="宋体" w:cs="宋体"/>
      <w:color w:val="000000"/>
      <w:sz w:val="18"/>
      <w:szCs w:val="18"/>
      <w:u w:val="none"/>
    </w:rPr>
  </w:style>
  <w:style w:type="character" w:customStyle="1" w:styleId="107">
    <w:name w:val="font01"/>
    <w:basedOn w:val="38"/>
    <w:qFormat/>
    <w:uiPriority w:val="0"/>
    <w:rPr>
      <w:rFonts w:hint="eastAsia" w:ascii="宋体" w:hAnsi="宋体" w:eastAsia="宋体" w:cs="宋体"/>
      <w:color w:val="000000"/>
      <w:sz w:val="18"/>
      <w:szCs w:val="18"/>
      <w:u w:val="none"/>
      <w:vertAlign w:val="superscript"/>
    </w:rPr>
  </w:style>
  <w:style w:type="character" w:customStyle="1" w:styleId="108">
    <w:name w:val="emailstyle15"/>
    <w:basedOn w:val="38"/>
    <w:qFormat/>
    <w:uiPriority w:val="0"/>
    <w:rPr>
      <w:rFonts w:hint="default" w:ascii="Calibri" w:hAnsi="Calibri" w:eastAsia="宋体" w:cs="Times New Roman"/>
      <w:color w:val="auto"/>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2322</Words>
  <Characters>2523</Characters>
  <Lines>46</Lines>
  <Paragraphs>13</Paragraphs>
  <TotalTime>0</TotalTime>
  <ScaleCrop>false</ScaleCrop>
  <LinksUpToDate>false</LinksUpToDate>
  <CharactersWithSpaces>3050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Josiwoo</cp:lastModifiedBy>
  <cp:lastPrinted>2023-05-24T07:35:00Z</cp:lastPrinted>
  <dcterms:modified xsi:type="dcterms:W3CDTF">2025-01-03T02:39:06Z</dcterms:modified>
  <dc:title>采购询价函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D027AFDD90194065BDEDDB1E1B8F3EB7_13</vt:lpwstr>
  </property>
  <property fmtid="{D5CDD505-2E9C-101B-9397-08002B2CF9AE}" pid="4" name="KSOTemplateDocerSaveRecord">
    <vt:lpwstr>eyJoZGlkIjoiNDI1NGQ4MDY4NjMxYWVlMzc3ODM2NDE0MmU1ODUxYzYiLCJ1c2VySWQiOiI0MjE5NDA3OTgifQ==</vt:lpwstr>
  </property>
</Properties>
</file>